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4D" w:rsidRDefault="006D3F07" w:rsidP="0033724D">
      <w:pPr>
        <w:jc w:val="center"/>
      </w:pPr>
      <w:r w:rsidRPr="008D33AF">
        <w:rPr>
          <w:rFonts w:cs="Arial"/>
          <w:b/>
          <w:bCs/>
          <w:noProof/>
          <w:sz w:val="28"/>
          <w:szCs w:val="28"/>
          <w:lang w:val="en-GB" w:eastAsia="en-GB"/>
        </w:rPr>
        <w:drawing>
          <wp:anchor distT="0" distB="0" distL="114300" distR="114300" simplePos="0" relativeHeight="251659264" behindDoc="1" locked="0" layoutInCell="1" allowOverlap="1" wp14:anchorId="3450BF26" wp14:editId="18C1D1CD">
            <wp:simplePos x="0" y="0"/>
            <wp:positionH relativeFrom="margin">
              <wp:posOffset>2407921</wp:posOffset>
            </wp:positionH>
            <wp:positionV relativeFrom="paragraph">
              <wp:posOffset>0</wp:posOffset>
            </wp:positionV>
            <wp:extent cx="899160" cy="700959"/>
            <wp:effectExtent l="0" t="0" r="0" b="4445"/>
            <wp:wrapNone/>
            <wp:docPr id="4" name="Picture 4" descr="T:\CRITICAL CARE AND TRAUMA\BLING III\Study tools and forms\Logo\BlingIII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RITICAL CARE AND TRAUMA\BLING III\Study tools and forms\Logo\BlingIII_I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431" cy="7050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724D" w:rsidRPr="00403661" w:rsidRDefault="0033724D" w:rsidP="006D3F07">
      <w:pPr>
        <w:spacing w:after="0" w:line="387" w:lineRule="exact"/>
        <w:ind w:left="720" w:right="989"/>
        <w:jc w:val="center"/>
        <w:rPr>
          <w:rFonts w:ascii="Calibri" w:eastAsia="Calibri" w:hAnsi="Calibri" w:cs="Calibri"/>
          <w:b/>
          <w:bCs/>
          <w:color w:val="771239"/>
          <w:w w:val="99"/>
          <w:sz w:val="32"/>
          <w:szCs w:val="32"/>
        </w:rPr>
      </w:pPr>
      <w:r>
        <w:tab/>
      </w:r>
    </w:p>
    <w:p w:rsidR="00403661" w:rsidRDefault="00403661" w:rsidP="00403661">
      <w:pPr>
        <w:spacing w:before="45" w:after="0" w:line="240" w:lineRule="auto"/>
        <w:ind w:left="720" w:right="630"/>
        <w:rPr>
          <w:rFonts w:ascii="Calibri" w:eastAsia="Calibri" w:hAnsi="Calibri" w:cs="Times New Roman"/>
          <w:b/>
          <w:noProof/>
          <w:sz w:val="20"/>
          <w:szCs w:val="20"/>
          <w:lang w:val="en-AU"/>
        </w:rPr>
      </w:pPr>
    </w:p>
    <w:p w:rsidR="009D75C0" w:rsidRPr="006D3F07" w:rsidRDefault="006D3F07" w:rsidP="006D3F07">
      <w:pPr>
        <w:spacing w:before="45" w:after="0" w:line="240" w:lineRule="auto"/>
        <w:ind w:right="630"/>
        <w:jc w:val="center"/>
        <w:rPr>
          <w:rFonts w:ascii="Calibri" w:eastAsia="Calibri" w:hAnsi="Calibri" w:cs="Times New Roman"/>
          <w:b/>
          <w:noProof/>
          <w:color w:val="0070C0"/>
          <w:sz w:val="20"/>
          <w:szCs w:val="20"/>
          <w:lang w:val="en-AU"/>
        </w:rPr>
      </w:pPr>
      <w:r w:rsidRPr="006D3F07">
        <w:rPr>
          <w:rFonts w:ascii="Calibri" w:eastAsia="Calibri" w:hAnsi="Calibri" w:cs="Times New Roman"/>
          <w:b/>
          <w:noProof/>
          <w:color w:val="0070C0"/>
          <w:sz w:val="20"/>
          <w:szCs w:val="20"/>
          <w:lang w:val="en-AU"/>
        </w:rPr>
        <w:t>The B</w:t>
      </w:r>
      <w:r w:rsidR="006C5B00">
        <w:rPr>
          <w:rFonts w:ascii="Calibri" w:eastAsia="Calibri" w:hAnsi="Calibri" w:cs="Times New Roman"/>
          <w:b/>
          <w:noProof/>
          <w:color w:val="0070C0"/>
          <w:sz w:val="20"/>
          <w:szCs w:val="20"/>
          <w:lang w:val="en-AU"/>
        </w:rPr>
        <w:t>e</w:t>
      </w:r>
      <w:r w:rsidRPr="006D3F07">
        <w:rPr>
          <w:rFonts w:ascii="Calibri" w:eastAsia="Calibri" w:hAnsi="Calibri" w:cs="Times New Roman"/>
          <w:b/>
          <w:noProof/>
          <w:color w:val="0070C0"/>
          <w:sz w:val="20"/>
          <w:szCs w:val="20"/>
          <w:lang w:val="en-AU"/>
        </w:rPr>
        <w:t>ta Lactam InfusionN Group</w:t>
      </w:r>
    </w:p>
    <w:p w:rsidR="006D3F07" w:rsidRDefault="006D3F07" w:rsidP="006D3F07">
      <w:pPr>
        <w:spacing w:before="45" w:after="0" w:line="240" w:lineRule="auto"/>
        <w:ind w:right="630"/>
        <w:jc w:val="center"/>
        <w:rPr>
          <w:rFonts w:ascii="Calibri" w:eastAsia="Calibri" w:hAnsi="Calibri" w:cs="Times New Roman"/>
          <w:b/>
          <w:noProof/>
          <w:sz w:val="20"/>
          <w:szCs w:val="20"/>
          <w:lang w:val="en-AU"/>
        </w:rPr>
      </w:pPr>
      <w:r>
        <w:rPr>
          <w:rFonts w:ascii="Calibri" w:eastAsia="Calibri" w:hAnsi="Calibri" w:cs="Times New Roman"/>
          <w:b/>
          <w:noProof/>
          <w:sz w:val="20"/>
          <w:szCs w:val="20"/>
          <w:lang w:val="en-AU"/>
        </w:rPr>
        <w:t>A phase III randomised controlled trial of continuous beta-lactam infusion c</w:t>
      </w:r>
      <w:r w:rsidR="006C5B00">
        <w:rPr>
          <w:rFonts w:ascii="Calibri" w:eastAsia="Calibri" w:hAnsi="Calibri" w:cs="Times New Roman"/>
          <w:b/>
          <w:noProof/>
          <w:sz w:val="20"/>
          <w:szCs w:val="20"/>
          <w:lang w:val="en-AU"/>
        </w:rPr>
        <w:t>ompared with intermittent beta-</w:t>
      </w:r>
      <w:r>
        <w:rPr>
          <w:rFonts w:ascii="Calibri" w:eastAsia="Calibri" w:hAnsi="Calibri" w:cs="Times New Roman"/>
          <w:b/>
          <w:noProof/>
          <w:sz w:val="20"/>
          <w:szCs w:val="20"/>
          <w:lang w:val="en-AU"/>
        </w:rPr>
        <w:t>lactam dosing in critically ill patients</w:t>
      </w:r>
    </w:p>
    <w:p w:rsidR="006D3F07" w:rsidRDefault="006D3F07" w:rsidP="006D3F07">
      <w:pPr>
        <w:spacing w:before="45" w:after="0" w:line="240" w:lineRule="auto"/>
        <w:ind w:right="630"/>
        <w:jc w:val="center"/>
        <w:rPr>
          <w:rFonts w:ascii="Calibri" w:eastAsia="Calibri" w:hAnsi="Calibri" w:cs="Times New Roman"/>
          <w:b/>
          <w:noProof/>
          <w:sz w:val="20"/>
          <w:szCs w:val="20"/>
          <w:lang w:val="en-AU"/>
        </w:rPr>
      </w:pPr>
    </w:p>
    <w:p w:rsidR="0033724D" w:rsidRDefault="00403661" w:rsidP="00403661">
      <w:pPr>
        <w:spacing w:before="45" w:after="0" w:line="240" w:lineRule="auto"/>
        <w:ind w:right="630"/>
        <w:rPr>
          <w:rFonts w:ascii="Calibri" w:eastAsia="Calibri" w:hAnsi="Calibri" w:cs="Times New Roman"/>
          <w:b/>
          <w:noProof/>
          <w:sz w:val="20"/>
          <w:szCs w:val="20"/>
          <w:lang w:val="en-AU"/>
        </w:rPr>
      </w:pPr>
      <w:r w:rsidRPr="009D75C0">
        <w:rPr>
          <w:rFonts w:ascii="Calibri" w:eastAsia="Calibri" w:hAnsi="Calibri" w:cs="Times New Roman"/>
          <w:b/>
          <w:noProof/>
          <w:sz w:val="20"/>
          <w:szCs w:val="20"/>
          <w:lang w:val="en-AU"/>
        </w:rPr>
        <w:t>Overview</w:t>
      </w:r>
    </w:p>
    <w:p w:rsidR="00AB2540" w:rsidRDefault="00AB2540" w:rsidP="00AB2540">
      <w:pPr>
        <w:rPr>
          <w:rFonts w:cs="Arial"/>
          <w:lang w:val="en-AU"/>
        </w:rPr>
      </w:pPr>
      <w:r>
        <w:rPr>
          <w:lang w:val="en-AU"/>
        </w:rPr>
        <w:t>The trial is being sponsored by the George I</w:t>
      </w:r>
      <w:r w:rsidR="00022DB7">
        <w:rPr>
          <w:lang w:val="en-AU"/>
        </w:rPr>
        <w:t>nstitute, Sydney, Australia, and</w:t>
      </w:r>
      <w:r>
        <w:rPr>
          <w:lang w:val="en-AU"/>
        </w:rPr>
        <w:t xml:space="preserve"> the UK sites will be managed by Imperial College London</w:t>
      </w:r>
      <w:r w:rsidR="00022DB7">
        <w:rPr>
          <w:lang w:val="en-AU"/>
        </w:rPr>
        <w:t xml:space="preserve"> (UK CI Prof Steve Brett, UK trial Manager Dr Farah Al-Beidh)</w:t>
      </w:r>
      <w:r>
        <w:rPr>
          <w:lang w:val="en-AU"/>
        </w:rPr>
        <w:t>. The BLING III Tri</w:t>
      </w:r>
      <w:r w:rsidR="00022DB7">
        <w:rPr>
          <w:lang w:val="en-AU"/>
        </w:rPr>
        <w:t xml:space="preserve">al has been deemed a non-CTIMP </w:t>
      </w:r>
      <w:r>
        <w:rPr>
          <w:lang w:val="en-AU"/>
        </w:rPr>
        <w:t>and hope for it to be adopted on the NIHR portfolio.</w:t>
      </w:r>
    </w:p>
    <w:p w:rsidR="00A73CF6" w:rsidRDefault="006D3F07" w:rsidP="00CD3876">
      <w:pPr>
        <w:rPr>
          <w:rFonts w:cs="Arial"/>
          <w:lang w:val="en-AU"/>
        </w:rPr>
      </w:pPr>
      <w:r>
        <w:rPr>
          <w:rFonts w:cs="Arial"/>
          <w:lang w:val="en-AU"/>
        </w:rPr>
        <w:t>We aim to conduct a</w:t>
      </w:r>
      <w:r w:rsidR="0082110F">
        <w:rPr>
          <w:rFonts w:cs="Arial"/>
          <w:lang w:val="en-AU"/>
        </w:rPr>
        <w:t>n international</w:t>
      </w:r>
      <w:r>
        <w:rPr>
          <w:rFonts w:cs="Arial"/>
          <w:lang w:val="en-AU"/>
        </w:rPr>
        <w:t xml:space="preserve"> multicentre randomised, controlled trial (RCT) t</w:t>
      </w:r>
      <w:r w:rsidRPr="00EC494B">
        <w:rPr>
          <w:rFonts w:cs="Arial"/>
          <w:lang w:val="en-AU"/>
        </w:rPr>
        <w:t xml:space="preserve">o determine </w:t>
      </w:r>
      <w:r>
        <w:rPr>
          <w:rFonts w:cs="Arial"/>
          <w:lang w:val="en-AU"/>
        </w:rPr>
        <w:t>whether</w:t>
      </w:r>
      <w:r w:rsidRPr="00EC494B">
        <w:rPr>
          <w:rFonts w:cs="Arial"/>
          <w:lang w:val="en-AU"/>
        </w:rPr>
        <w:t xml:space="preserve"> continuous infusion</w:t>
      </w:r>
      <w:r w:rsidRPr="00EC494B">
        <w:rPr>
          <w:lang w:val="en-AU"/>
        </w:rPr>
        <w:t xml:space="preserve"> of </w:t>
      </w:r>
      <w:r>
        <w:rPr>
          <w:lang w:val="en-AU"/>
        </w:rPr>
        <w:t xml:space="preserve">a </w:t>
      </w:r>
      <w:r w:rsidRPr="00EC494B">
        <w:rPr>
          <w:lang w:val="en-AU"/>
        </w:rPr>
        <w:t>beta-lactam antibiotic</w:t>
      </w:r>
      <w:r w:rsidRPr="00EC494B">
        <w:rPr>
          <w:rFonts w:cs="Arial"/>
          <w:lang w:val="en-AU"/>
        </w:rPr>
        <w:t xml:space="preserve"> (piperacillin-tazobactam or merop</w:t>
      </w:r>
      <w:r>
        <w:rPr>
          <w:rFonts w:cs="Arial"/>
          <w:lang w:val="en-AU"/>
        </w:rPr>
        <w:t>e</w:t>
      </w:r>
      <w:r w:rsidRPr="00EC494B">
        <w:rPr>
          <w:rFonts w:cs="Arial"/>
          <w:lang w:val="en-AU"/>
        </w:rPr>
        <w:t>ne</w:t>
      </w:r>
      <w:r>
        <w:rPr>
          <w:rFonts w:cs="Arial"/>
          <w:lang w:val="en-AU"/>
        </w:rPr>
        <w:t>m</w:t>
      </w:r>
      <w:r w:rsidRPr="00EC494B">
        <w:rPr>
          <w:rFonts w:cs="Arial"/>
          <w:lang w:val="en-AU"/>
        </w:rPr>
        <w:t xml:space="preserve">) results in decreased </w:t>
      </w:r>
      <w:r>
        <w:rPr>
          <w:rFonts w:cs="Arial"/>
          <w:lang w:val="en-AU"/>
        </w:rPr>
        <w:t>all-</w:t>
      </w:r>
      <w:r w:rsidRPr="00EC494B">
        <w:rPr>
          <w:rFonts w:cs="Arial"/>
          <w:lang w:val="en-AU"/>
        </w:rPr>
        <w:t xml:space="preserve">cause Day 90 mortality compared with intermittent </w:t>
      </w:r>
      <w:r w:rsidRPr="00EC494B">
        <w:rPr>
          <w:lang w:val="en-AU"/>
        </w:rPr>
        <w:t>beta-lactam</w:t>
      </w:r>
      <w:r w:rsidRPr="00EC494B">
        <w:rPr>
          <w:rFonts w:cs="Arial"/>
          <w:lang w:val="en-AU"/>
        </w:rPr>
        <w:t xml:space="preserve"> antibiotic infusion in critically ill patients with sepsis.</w:t>
      </w:r>
      <w:r w:rsidR="006C5B00">
        <w:rPr>
          <w:rFonts w:cs="Arial"/>
          <w:lang w:val="en-AU"/>
        </w:rPr>
        <w:t xml:space="preserve"> </w:t>
      </w:r>
    </w:p>
    <w:p w:rsidR="00CD3876" w:rsidRPr="006C5B00" w:rsidRDefault="00CD3876" w:rsidP="00CD3876">
      <w:pPr>
        <w:rPr>
          <w:rFonts w:cs="Arial"/>
          <w:lang w:val="en-AU"/>
        </w:rPr>
      </w:pPr>
      <w:r w:rsidRPr="00937ED3">
        <w:rPr>
          <w:lang w:val="en-AU"/>
        </w:rPr>
        <w:t xml:space="preserve">Regardless of the outcome, this study will provide vital evidence to answer the clinically important question of whether there is a difference in </w:t>
      </w:r>
      <w:r>
        <w:t xml:space="preserve">patient-centred </w:t>
      </w:r>
      <w:r w:rsidRPr="00EC494B">
        <w:rPr>
          <w:lang w:val="en-AU"/>
        </w:rPr>
        <w:t>outcome</w:t>
      </w:r>
      <w:r>
        <w:t>s</w:t>
      </w:r>
      <w:r w:rsidRPr="00EC494B">
        <w:rPr>
          <w:lang w:val="en-AU"/>
        </w:rPr>
        <w:t xml:space="preserve"> </w:t>
      </w:r>
      <w:r>
        <w:t>in</w:t>
      </w:r>
      <w:r w:rsidRPr="00EC494B">
        <w:rPr>
          <w:lang w:val="en-AU"/>
        </w:rPr>
        <w:t xml:space="preserve"> critically ill patients with sepsis administered beta-lactam antibiotics by continuous infusion versus intermittent infusion. If a 3.5% absolute reduction in hospital mortality is observed, then this intervention has the potential to save over 750 lives each year in Australia and New Zealand alone (based on severe sepsis incidence data).</w:t>
      </w:r>
      <w:r w:rsidR="0082110F" w:rsidRPr="00EC494B">
        <w:rPr>
          <w:lang w:val="en-AU"/>
        </w:rPr>
        <w:t xml:space="preserve"> </w:t>
      </w:r>
      <w:r w:rsidRPr="00EC494B">
        <w:rPr>
          <w:lang w:val="en-AU"/>
        </w:rPr>
        <w:t>This research will provide pivotal evidence on the optimal method of delivery of commonly used beta-lactam antibiotics via a phase III RCT of global relevance.</w:t>
      </w:r>
    </w:p>
    <w:p w:rsidR="006C5B00" w:rsidRDefault="006D3F07" w:rsidP="006D3F07">
      <w:pPr>
        <w:rPr>
          <w:rFonts w:cs="Arial"/>
          <w:b/>
          <w:bCs/>
          <w:lang w:val="en-AU"/>
        </w:rPr>
      </w:pPr>
      <w:r>
        <w:rPr>
          <w:rFonts w:cs="Arial"/>
          <w:b/>
          <w:bCs/>
          <w:lang w:val="en-AU"/>
        </w:rPr>
        <w:t xml:space="preserve"> </w:t>
      </w:r>
      <w:r w:rsidR="00403661" w:rsidRPr="009D75C0">
        <w:rPr>
          <w:rFonts w:ascii="Calibri" w:eastAsia="Calibri" w:hAnsi="Calibri" w:cs="Times New Roman"/>
          <w:b/>
          <w:noProof/>
          <w:sz w:val="20"/>
          <w:szCs w:val="20"/>
          <w:lang w:val="en-AU"/>
        </w:rPr>
        <w:t>Design</w:t>
      </w:r>
    </w:p>
    <w:p w:rsidR="006D3F07" w:rsidRPr="006C5B00" w:rsidRDefault="006D3F07" w:rsidP="006D3F07">
      <w:pPr>
        <w:rPr>
          <w:rFonts w:cs="Arial"/>
          <w:b/>
          <w:bCs/>
          <w:lang w:val="en-AU"/>
        </w:rPr>
      </w:pPr>
      <w:r w:rsidRPr="00EC494B">
        <w:rPr>
          <w:lang w:val="en-AU"/>
        </w:rPr>
        <w:t>Participants commenced on one of two beta-lactam antibiotics (piperacillin-tazobactam or meropenem) will be randomised to receive the beta-lactam antibiotic via either continuous infusion or intermittent infusion over 30 minutes</w:t>
      </w:r>
      <w:r>
        <w:rPr>
          <w:lang w:val="en-AU"/>
        </w:rPr>
        <w:t xml:space="preserve"> for the treatment course for up to 14 days after randomisation </w:t>
      </w:r>
      <w:r w:rsidRPr="00647CC5">
        <w:rPr>
          <w:lang w:val="en-AU"/>
        </w:rPr>
        <w:t>while in the ICU</w:t>
      </w:r>
      <w:r w:rsidRPr="00EC494B">
        <w:rPr>
          <w:lang w:val="en-AU"/>
        </w:rPr>
        <w:t>. For participants where the beta-lactam antibiotic is subsequently changed from piperacillin-tazobactam to meropenem</w:t>
      </w:r>
      <w:r w:rsidRPr="00EC494B" w:rsidDel="005E5FEB">
        <w:rPr>
          <w:lang w:val="en-AU"/>
        </w:rPr>
        <w:t xml:space="preserve"> </w:t>
      </w:r>
      <w:r w:rsidRPr="00EC494B">
        <w:rPr>
          <w:lang w:val="en-AU"/>
        </w:rPr>
        <w:t>or vice versa</w:t>
      </w:r>
      <w:r>
        <w:rPr>
          <w:lang w:val="en-AU"/>
        </w:rPr>
        <w:t xml:space="preserve"> for ongoing treatment of the infectious episode</w:t>
      </w:r>
      <w:r w:rsidRPr="00EC494B">
        <w:rPr>
          <w:lang w:val="en-AU"/>
        </w:rPr>
        <w:t>, the new prescription will continue to be administered in the allocated method (continuous infusion or intermittent infusion over 30 minutes).</w:t>
      </w:r>
    </w:p>
    <w:p w:rsidR="00403661" w:rsidRPr="009D75C0" w:rsidRDefault="00403661" w:rsidP="00455D82">
      <w:pPr>
        <w:tabs>
          <w:tab w:val="left" w:pos="905"/>
        </w:tabs>
        <w:rPr>
          <w:rFonts w:ascii="Calibri" w:eastAsia="Calibri" w:hAnsi="Calibri" w:cs="Times New Roman"/>
          <w:b/>
          <w:noProof/>
          <w:sz w:val="20"/>
          <w:szCs w:val="20"/>
          <w:lang w:val="en-AU"/>
        </w:rPr>
      </w:pPr>
      <w:r w:rsidRPr="009D75C0">
        <w:rPr>
          <w:rFonts w:ascii="Calibri" w:eastAsia="Calibri" w:hAnsi="Calibri" w:cs="Times New Roman"/>
          <w:b/>
          <w:noProof/>
          <w:sz w:val="20"/>
          <w:szCs w:val="20"/>
          <w:lang w:val="en-AU"/>
        </w:rPr>
        <w:t>Participants</w:t>
      </w:r>
    </w:p>
    <w:p w:rsidR="0082110F" w:rsidRDefault="0082110F" w:rsidP="0082110F">
      <w:pPr>
        <w:spacing w:before="240"/>
        <w:rPr>
          <w:lang w:val="en-AU"/>
        </w:rPr>
      </w:pPr>
      <w:r w:rsidRPr="00EC494B">
        <w:rPr>
          <w:lang w:val="en-AU"/>
        </w:rPr>
        <w:t xml:space="preserve">This study will be conducted in approximately 70 ICUs worldwide, with approximately </w:t>
      </w:r>
      <w:r>
        <w:rPr>
          <w:lang w:val="en-AU"/>
        </w:rPr>
        <w:t>40</w:t>
      </w:r>
      <w:r w:rsidRPr="00EC494B">
        <w:rPr>
          <w:lang w:val="en-AU"/>
        </w:rPr>
        <w:t xml:space="preserve"> sites anticipated in </w:t>
      </w:r>
      <w:r>
        <w:rPr>
          <w:lang w:val="en-AU"/>
        </w:rPr>
        <w:t>the UK.</w:t>
      </w:r>
    </w:p>
    <w:p w:rsidR="0082110F" w:rsidRPr="0082110F" w:rsidRDefault="0082110F" w:rsidP="0082110F">
      <w:pPr>
        <w:rPr>
          <w:b/>
          <w:sz w:val="20"/>
          <w:szCs w:val="20"/>
          <w:lang w:val="en-AU"/>
        </w:rPr>
      </w:pPr>
      <w:bookmarkStart w:id="0" w:name="_Inclusion_criteria"/>
      <w:bookmarkStart w:id="1" w:name="_Toc331920925"/>
      <w:bookmarkStart w:id="2" w:name="_Ref468804246"/>
      <w:bookmarkStart w:id="3" w:name="_Toc469669018"/>
      <w:bookmarkStart w:id="4" w:name="_Toc500414947"/>
      <w:bookmarkEnd w:id="0"/>
      <w:r w:rsidRPr="0082110F">
        <w:rPr>
          <w:b/>
          <w:sz w:val="20"/>
          <w:szCs w:val="20"/>
          <w:lang w:val="en-AU"/>
        </w:rPr>
        <w:t>Inclusion criteria</w:t>
      </w:r>
      <w:bookmarkEnd w:id="1"/>
      <w:bookmarkEnd w:id="2"/>
      <w:bookmarkEnd w:id="3"/>
      <w:bookmarkEnd w:id="4"/>
    </w:p>
    <w:p w:rsidR="0082110F" w:rsidRPr="00EC494B" w:rsidRDefault="0082110F" w:rsidP="0082110F">
      <w:pPr>
        <w:numPr>
          <w:ilvl w:val="0"/>
          <w:numId w:val="8"/>
        </w:numPr>
        <w:spacing w:after="0" w:line="274" w:lineRule="auto"/>
        <w:ind w:left="357" w:hanging="357"/>
        <w:jc w:val="both"/>
        <w:rPr>
          <w:rFonts w:cs="Arial"/>
          <w:lang w:val="en-AU"/>
        </w:rPr>
      </w:pPr>
      <w:r>
        <w:rPr>
          <w:rFonts w:cs="Arial"/>
          <w:lang w:val="en-AU"/>
        </w:rPr>
        <w:t>The patient has a documented site of infection or strong suspicion of infection</w:t>
      </w:r>
    </w:p>
    <w:p w:rsidR="0082110F" w:rsidRPr="00EC494B" w:rsidRDefault="0082110F" w:rsidP="0082110F">
      <w:pPr>
        <w:numPr>
          <w:ilvl w:val="0"/>
          <w:numId w:val="8"/>
        </w:numPr>
        <w:spacing w:after="0" w:line="274" w:lineRule="auto"/>
        <w:ind w:left="357" w:hanging="357"/>
        <w:jc w:val="both"/>
        <w:rPr>
          <w:rFonts w:cs="Arial"/>
          <w:lang w:val="en-AU"/>
        </w:rPr>
      </w:pPr>
      <w:r>
        <w:rPr>
          <w:rFonts w:cs="Arial"/>
          <w:lang w:val="en-AU"/>
        </w:rPr>
        <w:t>The patient is expected to be in the ICU the day after tomorrow</w:t>
      </w:r>
    </w:p>
    <w:p w:rsidR="0082110F" w:rsidRDefault="0082110F" w:rsidP="0082110F">
      <w:pPr>
        <w:numPr>
          <w:ilvl w:val="0"/>
          <w:numId w:val="8"/>
        </w:numPr>
        <w:spacing w:after="0" w:line="274" w:lineRule="auto"/>
        <w:ind w:left="357" w:hanging="357"/>
        <w:jc w:val="both"/>
        <w:rPr>
          <w:rFonts w:cs="Arial"/>
          <w:lang w:val="en-AU"/>
        </w:rPr>
      </w:pPr>
      <w:r w:rsidRPr="00EC494B">
        <w:rPr>
          <w:rFonts w:cs="Arial"/>
          <w:lang w:val="en-AU"/>
        </w:rPr>
        <w:t xml:space="preserve">The </w:t>
      </w:r>
      <w:r>
        <w:rPr>
          <w:rFonts w:cs="Arial"/>
          <w:lang w:val="en-AU"/>
        </w:rPr>
        <w:t>patient has been commenced on</w:t>
      </w:r>
      <w:r w:rsidRPr="00EC494B">
        <w:rPr>
          <w:rFonts w:cs="Arial"/>
          <w:lang w:val="en-AU"/>
        </w:rPr>
        <w:t xml:space="preserve"> piperacillin-tazobactam or meropenem to</w:t>
      </w:r>
      <w:r>
        <w:rPr>
          <w:rFonts w:cs="Arial"/>
          <w:lang w:val="en-AU"/>
        </w:rPr>
        <w:t xml:space="preserve"> treat the episode of infection</w:t>
      </w:r>
    </w:p>
    <w:p w:rsidR="0082110F" w:rsidRPr="00BC3C75" w:rsidRDefault="0082110F" w:rsidP="0082110F">
      <w:pPr>
        <w:numPr>
          <w:ilvl w:val="0"/>
          <w:numId w:val="8"/>
        </w:numPr>
        <w:spacing w:after="0" w:line="274" w:lineRule="auto"/>
        <w:ind w:left="357" w:hanging="357"/>
        <w:jc w:val="both"/>
        <w:rPr>
          <w:rFonts w:cs="Arial"/>
          <w:lang w:val="en-AU"/>
        </w:rPr>
      </w:pPr>
      <w:r>
        <w:rPr>
          <w:rFonts w:cs="Arial"/>
          <w:lang w:val="en-AU"/>
        </w:rPr>
        <w:t xml:space="preserve">Giving </w:t>
      </w:r>
      <w:r w:rsidRPr="00EC494B">
        <w:rPr>
          <w:rFonts w:cs="Arial"/>
          <w:lang w:val="en-AU"/>
        </w:rPr>
        <w:t>piperacillin-tazobactam or meropenem</w:t>
      </w:r>
      <w:r>
        <w:rPr>
          <w:rFonts w:cs="Arial"/>
          <w:lang w:val="en-AU"/>
        </w:rPr>
        <w:t xml:space="preserve"> by intermittent infusion or continuous infusion is considered equally appropriate for the patient</w:t>
      </w:r>
    </w:p>
    <w:p w:rsidR="0082110F" w:rsidRPr="00EC494B" w:rsidRDefault="0082110F" w:rsidP="0082110F">
      <w:pPr>
        <w:numPr>
          <w:ilvl w:val="0"/>
          <w:numId w:val="8"/>
        </w:numPr>
        <w:spacing w:after="0" w:line="274" w:lineRule="auto"/>
        <w:jc w:val="both"/>
        <w:rPr>
          <w:rFonts w:cs="Arial"/>
          <w:lang w:val="en-AU"/>
        </w:rPr>
      </w:pPr>
      <w:r w:rsidRPr="00EC494B">
        <w:rPr>
          <w:rFonts w:cs="Arial"/>
          <w:lang w:val="en-AU"/>
        </w:rPr>
        <w:t>One or more organ dysfunction criteria in the previous 24 hours</w:t>
      </w:r>
    </w:p>
    <w:p w:rsidR="0082110F" w:rsidRDefault="0082110F" w:rsidP="0082110F">
      <w:pPr>
        <w:pStyle w:val="ListParagraph"/>
        <w:numPr>
          <w:ilvl w:val="0"/>
          <w:numId w:val="9"/>
        </w:numPr>
        <w:spacing w:after="0"/>
        <w:rPr>
          <w:rFonts w:cs="Arial"/>
          <w:lang w:val="en-AU"/>
        </w:rPr>
      </w:pPr>
      <w:r w:rsidRPr="00216390">
        <w:rPr>
          <w:rFonts w:cs="Arial"/>
          <w:lang w:val="en-AU"/>
        </w:rPr>
        <w:t>MAP &lt; 60 mmHg for at least 1 hour</w:t>
      </w:r>
    </w:p>
    <w:p w:rsidR="0082110F" w:rsidRPr="00216390" w:rsidRDefault="0082110F" w:rsidP="0082110F">
      <w:pPr>
        <w:pStyle w:val="ListParagraph"/>
        <w:numPr>
          <w:ilvl w:val="0"/>
          <w:numId w:val="9"/>
        </w:numPr>
        <w:spacing w:after="0"/>
        <w:rPr>
          <w:rFonts w:cs="Arial"/>
          <w:lang w:val="en-AU"/>
        </w:rPr>
      </w:pPr>
      <w:r w:rsidRPr="00216390">
        <w:rPr>
          <w:rFonts w:cs="Arial"/>
          <w:lang w:val="en-AU"/>
        </w:rPr>
        <w:t>Vasopressors required for &gt;</w:t>
      </w:r>
      <w:r>
        <w:rPr>
          <w:rFonts w:cs="Arial"/>
          <w:lang w:val="en-AU"/>
        </w:rPr>
        <w:t xml:space="preserve"> </w:t>
      </w:r>
      <w:r w:rsidRPr="00216390">
        <w:rPr>
          <w:rFonts w:cs="Arial"/>
          <w:lang w:val="en-AU"/>
        </w:rPr>
        <w:t>4 hours</w:t>
      </w:r>
    </w:p>
    <w:p w:rsidR="0082110F" w:rsidRPr="00216390" w:rsidRDefault="0082110F" w:rsidP="0082110F">
      <w:pPr>
        <w:pStyle w:val="ListParagraph"/>
        <w:numPr>
          <w:ilvl w:val="0"/>
          <w:numId w:val="9"/>
        </w:numPr>
        <w:spacing w:after="0"/>
        <w:rPr>
          <w:rFonts w:cs="Arial"/>
          <w:lang w:val="en-AU"/>
        </w:rPr>
      </w:pPr>
      <w:r w:rsidRPr="00216390">
        <w:rPr>
          <w:rFonts w:cs="Arial"/>
          <w:szCs w:val="22"/>
          <w:lang w:val="en-AU"/>
        </w:rPr>
        <w:t>Respiratory support using supplemental high flow nasal prongs, continuous positive airway pressure, bilevel positive airway pressure or invasive mechanical ventilation for at least 1 hour</w:t>
      </w:r>
    </w:p>
    <w:p w:rsidR="0082110F" w:rsidRDefault="0082110F" w:rsidP="0082110F">
      <w:pPr>
        <w:pStyle w:val="ListParagraph"/>
        <w:numPr>
          <w:ilvl w:val="0"/>
          <w:numId w:val="9"/>
        </w:numPr>
        <w:spacing w:after="0"/>
        <w:rPr>
          <w:rFonts w:cs="Arial"/>
          <w:lang w:val="en-AU"/>
        </w:rPr>
      </w:pPr>
      <w:r w:rsidRPr="00216390">
        <w:rPr>
          <w:rFonts w:cs="Arial"/>
          <w:lang w:val="en-AU"/>
        </w:rPr>
        <w:t>Serum creatinine concentration &gt; 220 µmol/L</w:t>
      </w:r>
    </w:p>
    <w:p w:rsidR="0082110F" w:rsidRPr="00E3208C" w:rsidRDefault="0082110F" w:rsidP="0082110F">
      <w:pPr>
        <w:pStyle w:val="ListParagraph"/>
        <w:spacing w:after="0"/>
        <w:ind w:left="1080" w:firstLine="0"/>
        <w:rPr>
          <w:rFonts w:cs="Arial"/>
          <w:lang w:val="en-AU"/>
        </w:rPr>
      </w:pPr>
    </w:p>
    <w:p w:rsidR="0082110F" w:rsidRPr="0082110F" w:rsidRDefault="0082110F" w:rsidP="0082110F">
      <w:pPr>
        <w:rPr>
          <w:b/>
          <w:lang w:val="en-AU"/>
        </w:rPr>
      </w:pPr>
      <w:bookmarkStart w:id="5" w:name="_Exclusion_criteria"/>
      <w:bookmarkStart w:id="6" w:name="_Toc331920927"/>
      <w:bookmarkStart w:id="7" w:name="_Ref468804259"/>
      <w:bookmarkStart w:id="8" w:name="_Toc469669019"/>
      <w:bookmarkStart w:id="9" w:name="_Toc500414948"/>
      <w:bookmarkEnd w:id="5"/>
      <w:r w:rsidRPr="0082110F">
        <w:rPr>
          <w:b/>
          <w:lang w:val="en-AU"/>
        </w:rPr>
        <w:t>Exclusion criteria</w:t>
      </w:r>
      <w:bookmarkEnd w:id="6"/>
      <w:bookmarkEnd w:id="7"/>
      <w:bookmarkEnd w:id="8"/>
      <w:bookmarkEnd w:id="9"/>
    </w:p>
    <w:p w:rsidR="0082110F" w:rsidRPr="00EC494B" w:rsidRDefault="0082110F" w:rsidP="0082110F">
      <w:pPr>
        <w:numPr>
          <w:ilvl w:val="0"/>
          <w:numId w:val="10"/>
        </w:numPr>
        <w:tabs>
          <w:tab w:val="clear" w:pos="720"/>
          <w:tab w:val="num" w:pos="426"/>
        </w:tabs>
        <w:spacing w:after="0" w:line="274" w:lineRule="auto"/>
        <w:ind w:left="426" w:hanging="426"/>
        <w:jc w:val="both"/>
        <w:rPr>
          <w:rFonts w:cs="Arial"/>
          <w:lang w:val="en-AU"/>
        </w:rPr>
      </w:pPr>
      <w:r>
        <w:rPr>
          <w:rFonts w:cs="Arial"/>
          <w:lang w:val="en-AU"/>
        </w:rPr>
        <w:t>Patient a</w:t>
      </w:r>
      <w:r w:rsidRPr="00EC494B">
        <w:rPr>
          <w:rFonts w:cs="Arial"/>
          <w:lang w:val="en-AU"/>
        </w:rPr>
        <w:t>ge</w:t>
      </w:r>
      <w:r>
        <w:rPr>
          <w:rFonts w:cs="Arial"/>
          <w:lang w:val="en-AU"/>
        </w:rPr>
        <w:t xml:space="preserve"> is</w:t>
      </w:r>
      <w:r w:rsidRPr="00EC494B">
        <w:rPr>
          <w:rFonts w:cs="Arial"/>
          <w:lang w:val="en-AU"/>
        </w:rPr>
        <w:t xml:space="preserve"> less than 18 years</w:t>
      </w:r>
    </w:p>
    <w:p w:rsidR="0082110F" w:rsidRPr="00934FF6" w:rsidRDefault="0082110F" w:rsidP="0082110F">
      <w:pPr>
        <w:numPr>
          <w:ilvl w:val="0"/>
          <w:numId w:val="10"/>
        </w:numPr>
        <w:tabs>
          <w:tab w:val="clear" w:pos="720"/>
          <w:tab w:val="num" w:pos="426"/>
        </w:tabs>
        <w:spacing w:after="0" w:line="274" w:lineRule="auto"/>
        <w:ind w:left="426" w:hanging="426"/>
        <w:jc w:val="both"/>
        <w:rPr>
          <w:rFonts w:cs="Arial"/>
          <w:lang w:val="en-AU"/>
        </w:rPr>
      </w:pPr>
      <w:r>
        <w:rPr>
          <w:rFonts w:cs="Arial"/>
          <w:lang w:val="en-AU"/>
        </w:rPr>
        <w:t>Patients who have received</w:t>
      </w:r>
      <w:r w:rsidRPr="00EC494B">
        <w:rPr>
          <w:rFonts w:cs="Arial"/>
          <w:lang w:val="en-AU"/>
        </w:rPr>
        <w:t xml:space="preserve"> piperacillin-tazobactam or meropenem for more than 24 hours during current infectious episode</w:t>
      </w:r>
    </w:p>
    <w:p w:rsidR="0082110F" w:rsidRPr="00EC494B" w:rsidRDefault="0082110F" w:rsidP="0082110F">
      <w:pPr>
        <w:numPr>
          <w:ilvl w:val="0"/>
          <w:numId w:val="10"/>
        </w:numPr>
        <w:tabs>
          <w:tab w:val="clear" w:pos="720"/>
          <w:tab w:val="num" w:pos="426"/>
        </w:tabs>
        <w:spacing w:after="0" w:line="274" w:lineRule="auto"/>
        <w:ind w:left="426" w:hanging="426"/>
        <w:jc w:val="both"/>
        <w:rPr>
          <w:rFonts w:cs="Arial"/>
          <w:lang w:val="en-AU"/>
        </w:rPr>
      </w:pPr>
      <w:r>
        <w:rPr>
          <w:rFonts w:cs="Arial"/>
          <w:lang w:val="en-AU"/>
        </w:rPr>
        <w:t>Patients who are known or suspected to be pregnant</w:t>
      </w:r>
    </w:p>
    <w:p w:rsidR="0082110F" w:rsidRPr="00EC494B" w:rsidRDefault="0082110F" w:rsidP="0082110F">
      <w:pPr>
        <w:numPr>
          <w:ilvl w:val="0"/>
          <w:numId w:val="10"/>
        </w:numPr>
        <w:tabs>
          <w:tab w:val="clear" w:pos="720"/>
          <w:tab w:val="num" w:pos="426"/>
        </w:tabs>
        <w:spacing w:after="0" w:line="274" w:lineRule="auto"/>
        <w:ind w:left="426" w:hanging="426"/>
        <w:jc w:val="both"/>
        <w:rPr>
          <w:rFonts w:cs="Arial"/>
          <w:lang w:val="en-AU"/>
        </w:rPr>
      </w:pPr>
      <w:r>
        <w:rPr>
          <w:rFonts w:cs="Arial"/>
          <w:lang w:val="en-AU"/>
        </w:rPr>
        <w:t>Patients requiring</w:t>
      </w:r>
      <w:r w:rsidRPr="00EC494B">
        <w:rPr>
          <w:rFonts w:cs="Arial"/>
          <w:lang w:val="en-AU"/>
        </w:rPr>
        <w:t xml:space="preserve"> </w:t>
      </w:r>
      <w:r w:rsidRPr="002B39DD">
        <w:rPr>
          <w:rFonts w:cs="Arial"/>
          <w:lang w:val="en-AU"/>
        </w:rPr>
        <w:t xml:space="preserve">renal replacement therapy </w:t>
      </w:r>
      <w:r w:rsidRPr="00EC494B">
        <w:rPr>
          <w:rFonts w:cs="Arial"/>
          <w:lang w:val="en-AU"/>
        </w:rPr>
        <w:t>at the tim</w:t>
      </w:r>
      <w:r>
        <w:rPr>
          <w:rFonts w:cs="Arial"/>
          <w:lang w:val="en-AU"/>
        </w:rPr>
        <w:t>e of randomisation, including renal replacement therapy for chronic renal failure</w:t>
      </w:r>
    </w:p>
    <w:p w:rsidR="0082110F" w:rsidRPr="00EC494B" w:rsidRDefault="0082110F" w:rsidP="0082110F">
      <w:pPr>
        <w:numPr>
          <w:ilvl w:val="0"/>
          <w:numId w:val="10"/>
        </w:numPr>
        <w:tabs>
          <w:tab w:val="clear" w:pos="720"/>
          <w:tab w:val="num" w:pos="426"/>
        </w:tabs>
        <w:spacing w:after="0" w:line="274" w:lineRule="auto"/>
        <w:ind w:left="426" w:hanging="426"/>
        <w:jc w:val="both"/>
        <w:rPr>
          <w:rFonts w:cs="Arial"/>
          <w:lang w:val="en-AU"/>
        </w:rPr>
      </w:pPr>
      <w:r w:rsidRPr="00EC494B">
        <w:rPr>
          <w:rFonts w:cs="Arial"/>
          <w:lang w:val="en-AU"/>
        </w:rPr>
        <w:t xml:space="preserve">The </w:t>
      </w:r>
      <w:r>
        <w:rPr>
          <w:rFonts w:cs="Arial"/>
          <w:lang w:val="en-AU"/>
        </w:rPr>
        <w:t>attending</w:t>
      </w:r>
      <w:r w:rsidRPr="00EC494B">
        <w:rPr>
          <w:rFonts w:cs="Arial"/>
          <w:lang w:val="en-AU"/>
        </w:rPr>
        <w:t xml:space="preserve"> physician </w:t>
      </w:r>
      <w:r>
        <w:rPr>
          <w:rFonts w:cs="Arial"/>
          <w:lang w:val="en-AU"/>
        </w:rPr>
        <w:t xml:space="preserve">or patient or surrogate legal decision maker </w:t>
      </w:r>
      <w:r w:rsidRPr="00EC494B">
        <w:rPr>
          <w:rFonts w:cs="Arial"/>
          <w:lang w:val="en-AU"/>
        </w:rPr>
        <w:t>is not committed to advanced life-support, including mechanical ventilation, dialysis and vasopressor administration, for at least the next 48 hours</w:t>
      </w:r>
    </w:p>
    <w:p w:rsidR="0082110F" w:rsidRDefault="0082110F" w:rsidP="0082110F">
      <w:pPr>
        <w:numPr>
          <w:ilvl w:val="0"/>
          <w:numId w:val="10"/>
        </w:numPr>
        <w:tabs>
          <w:tab w:val="clear" w:pos="720"/>
          <w:tab w:val="num" w:pos="426"/>
        </w:tabs>
        <w:spacing w:after="0" w:line="274" w:lineRule="auto"/>
        <w:ind w:left="426" w:hanging="426"/>
        <w:jc w:val="both"/>
        <w:rPr>
          <w:rFonts w:cs="Arial"/>
          <w:lang w:val="en-AU"/>
        </w:rPr>
      </w:pPr>
      <w:r>
        <w:rPr>
          <w:rFonts w:cs="Arial"/>
          <w:lang w:val="en-AU"/>
        </w:rPr>
        <w:t>Patients in whom d</w:t>
      </w:r>
      <w:r w:rsidRPr="00EC494B">
        <w:rPr>
          <w:rFonts w:cs="Arial"/>
          <w:lang w:val="en-AU"/>
        </w:rPr>
        <w:t>eath is deemed imminent and inevitable</w:t>
      </w:r>
    </w:p>
    <w:p w:rsidR="0082110F" w:rsidRPr="00EC494B" w:rsidRDefault="0082110F" w:rsidP="0082110F">
      <w:pPr>
        <w:numPr>
          <w:ilvl w:val="0"/>
          <w:numId w:val="10"/>
        </w:numPr>
        <w:tabs>
          <w:tab w:val="clear" w:pos="720"/>
          <w:tab w:val="num" w:pos="426"/>
        </w:tabs>
        <w:spacing w:after="0" w:line="274" w:lineRule="auto"/>
        <w:ind w:left="426" w:hanging="426"/>
        <w:jc w:val="both"/>
        <w:rPr>
          <w:rFonts w:cs="Arial"/>
          <w:lang w:val="en-AU"/>
        </w:rPr>
      </w:pPr>
      <w:r>
        <w:rPr>
          <w:rFonts w:cs="Arial"/>
          <w:lang w:val="en-AU"/>
        </w:rPr>
        <w:t>P</w:t>
      </w:r>
      <w:r w:rsidRPr="00EC494B">
        <w:rPr>
          <w:rFonts w:cs="Arial"/>
          <w:lang w:val="en-AU"/>
        </w:rPr>
        <w:t>atient</w:t>
      </w:r>
      <w:r>
        <w:rPr>
          <w:rFonts w:cs="Arial"/>
          <w:lang w:val="en-AU"/>
        </w:rPr>
        <w:t>s who have</w:t>
      </w:r>
      <w:r w:rsidRPr="00EC494B">
        <w:rPr>
          <w:rFonts w:cs="Arial"/>
          <w:lang w:val="en-AU"/>
        </w:rPr>
        <w:t xml:space="preserve"> previously been enrolled in BLING III</w:t>
      </w:r>
    </w:p>
    <w:p w:rsidR="00403661" w:rsidRPr="009D75C0" w:rsidRDefault="00403661" w:rsidP="00455D82">
      <w:pPr>
        <w:tabs>
          <w:tab w:val="left" w:pos="905"/>
        </w:tabs>
        <w:rPr>
          <w:rFonts w:ascii="Calibri" w:eastAsia="Calibri" w:hAnsi="Calibri" w:cs="Times New Roman"/>
          <w:b/>
          <w:noProof/>
          <w:sz w:val="20"/>
          <w:szCs w:val="20"/>
          <w:lang w:val="en-AU"/>
        </w:rPr>
      </w:pPr>
      <w:r w:rsidRPr="009D75C0">
        <w:rPr>
          <w:rFonts w:ascii="Calibri" w:eastAsia="Calibri" w:hAnsi="Calibri" w:cs="Times New Roman"/>
          <w:b/>
          <w:noProof/>
          <w:sz w:val="20"/>
          <w:szCs w:val="20"/>
          <w:lang w:val="en-AU"/>
        </w:rPr>
        <w:t>Intervention</w:t>
      </w:r>
    </w:p>
    <w:p w:rsidR="00455D82" w:rsidRDefault="0082110F" w:rsidP="0082110F">
      <w:pPr>
        <w:spacing w:after="0" w:line="240" w:lineRule="auto"/>
        <w:contextualSpacing/>
        <w:jc w:val="both"/>
        <w:rPr>
          <w:lang w:val="en-AU"/>
        </w:rPr>
      </w:pPr>
      <w:bookmarkStart w:id="10" w:name="_Toc469668994"/>
      <w:r w:rsidRPr="00AC248A">
        <w:rPr>
          <w:lang w:val="en-AU"/>
        </w:rPr>
        <w:t>The administration</w:t>
      </w:r>
      <w:r>
        <w:rPr>
          <w:lang w:val="en-AU"/>
        </w:rPr>
        <w:t xml:space="preserve"> of</w:t>
      </w:r>
      <w:r w:rsidRPr="00AC248A">
        <w:rPr>
          <w:lang w:val="en-AU"/>
        </w:rPr>
        <w:t xml:space="preserve"> </w:t>
      </w:r>
      <w:r>
        <w:rPr>
          <w:lang w:val="en-AU"/>
        </w:rPr>
        <w:t xml:space="preserve">beta-lactam antibiotic </w:t>
      </w:r>
      <w:r w:rsidRPr="00AC248A">
        <w:rPr>
          <w:lang w:val="en-AU"/>
        </w:rPr>
        <w:t>will be randomised to either continuous infusion or intermittent infusion over 30 minutes</w:t>
      </w:r>
      <w:r>
        <w:rPr>
          <w:lang w:val="en-AU"/>
        </w:rPr>
        <w:t xml:space="preserve"> for the treatment course for up to 14 days after randomisation </w:t>
      </w:r>
      <w:r w:rsidRPr="00647CC5">
        <w:rPr>
          <w:lang w:val="en-AU"/>
        </w:rPr>
        <w:t>while the patient is in the ICU</w:t>
      </w:r>
      <w:r w:rsidRPr="00AC248A">
        <w:rPr>
          <w:lang w:val="en-AU"/>
        </w:rPr>
        <w:t>.</w:t>
      </w:r>
      <w:r>
        <w:rPr>
          <w:lang w:val="en-AU"/>
        </w:rPr>
        <w:t xml:space="preserve"> </w:t>
      </w:r>
      <w:r w:rsidRPr="00AC248A">
        <w:rPr>
          <w:lang w:val="en-AU"/>
        </w:rPr>
        <w:t xml:space="preserve">The choice of beta-lactam antibiotic, either piperacillin-tazobactam or meropenem, and the dose and dosing interval (i.e. </w:t>
      </w:r>
      <w:r>
        <w:rPr>
          <w:lang w:val="en-AU"/>
        </w:rPr>
        <w:t>the dose the</w:t>
      </w:r>
      <w:r w:rsidRPr="00AC248A">
        <w:rPr>
          <w:lang w:val="en-AU"/>
        </w:rPr>
        <w:t xml:space="preserve"> patient will receive in 24 hours) will be determined by the treating physician prior to randomisation.</w:t>
      </w:r>
      <w:bookmarkEnd w:id="10"/>
    </w:p>
    <w:p w:rsidR="003C1D4D" w:rsidRPr="009D75C0" w:rsidRDefault="003C1D4D" w:rsidP="0082110F">
      <w:pPr>
        <w:spacing w:after="0" w:line="240" w:lineRule="auto"/>
        <w:contextualSpacing/>
        <w:jc w:val="both"/>
        <w:rPr>
          <w:rFonts w:cs="Arial"/>
          <w:sz w:val="20"/>
          <w:szCs w:val="20"/>
          <w:lang w:val="en-AU"/>
        </w:rPr>
      </w:pPr>
    </w:p>
    <w:p w:rsidR="004E26D5" w:rsidRPr="0082110F" w:rsidRDefault="004E26D5" w:rsidP="0082110F">
      <w:pPr>
        <w:rPr>
          <w:b/>
          <w:lang w:val="en-AU"/>
        </w:rPr>
      </w:pPr>
      <w:bookmarkStart w:id="11" w:name="_Ref468803503"/>
      <w:bookmarkStart w:id="12" w:name="_Toc469669012"/>
      <w:bookmarkStart w:id="13" w:name="_Toc500414942"/>
      <w:r w:rsidRPr="0082110F">
        <w:rPr>
          <w:b/>
          <w:lang w:val="en-AU"/>
        </w:rPr>
        <w:t>Primary outcome</w:t>
      </w:r>
      <w:bookmarkEnd w:id="11"/>
      <w:bookmarkEnd w:id="12"/>
      <w:bookmarkEnd w:id="13"/>
    </w:p>
    <w:p w:rsidR="004E26D5" w:rsidRPr="00EC494B" w:rsidRDefault="004E26D5" w:rsidP="004E26D5">
      <w:pPr>
        <w:rPr>
          <w:lang w:val="en-AU"/>
        </w:rPr>
      </w:pPr>
      <w:r>
        <w:rPr>
          <w:lang w:val="en-AU"/>
        </w:rPr>
        <w:t>A</w:t>
      </w:r>
      <w:r w:rsidRPr="00EC494B">
        <w:rPr>
          <w:lang w:val="en-AU"/>
        </w:rPr>
        <w:t>ll-cause mortality within 90 days after randomisation.</w:t>
      </w:r>
    </w:p>
    <w:p w:rsidR="004E26D5" w:rsidRPr="0082110F" w:rsidRDefault="004E26D5" w:rsidP="0082110F">
      <w:pPr>
        <w:rPr>
          <w:rFonts w:cs="Arial"/>
          <w:b/>
          <w:lang w:val="en-AU"/>
        </w:rPr>
      </w:pPr>
      <w:bookmarkStart w:id="14" w:name="_Toc469668899"/>
      <w:bookmarkStart w:id="15" w:name="_Toc469669013"/>
      <w:bookmarkStart w:id="16" w:name="_Secondary_Outcomes"/>
      <w:bookmarkStart w:id="17" w:name="_Ref468803528"/>
      <w:bookmarkStart w:id="18" w:name="_Toc469669014"/>
      <w:bookmarkStart w:id="19" w:name="_Toc500414943"/>
      <w:bookmarkEnd w:id="14"/>
      <w:bookmarkEnd w:id="15"/>
      <w:bookmarkEnd w:id="16"/>
      <w:r w:rsidRPr="0082110F">
        <w:rPr>
          <w:b/>
          <w:lang w:val="en-AU"/>
        </w:rPr>
        <w:t>Secondary outcomes</w:t>
      </w:r>
      <w:bookmarkEnd w:id="17"/>
      <w:bookmarkEnd w:id="18"/>
      <w:bookmarkEnd w:id="19"/>
    </w:p>
    <w:p w:rsidR="004E26D5" w:rsidRPr="00EC494B" w:rsidRDefault="004E26D5" w:rsidP="004E26D5">
      <w:pPr>
        <w:numPr>
          <w:ilvl w:val="0"/>
          <w:numId w:val="5"/>
        </w:numPr>
        <w:spacing w:after="0" w:line="274" w:lineRule="auto"/>
        <w:jc w:val="both"/>
        <w:rPr>
          <w:rFonts w:cs="Arial"/>
          <w:lang w:val="en-AU"/>
        </w:rPr>
      </w:pPr>
      <w:r w:rsidRPr="00EC494B">
        <w:rPr>
          <w:rFonts w:cs="Arial"/>
          <w:lang w:val="en-AU"/>
        </w:rPr>
        <w:t>Clinical cure at Day 14 post randomisation</w:t>
      </w:r>
    </w:p>
    <w:p w:rsidR="004E26D5" w:rsidRDefault="004E26D5" w:rsidP="004E26D5">
      <w:pPr>
        <w:numPr>
          <w:ilvl w:val="0"/>
          <w:numId w:val="5"/>
        </w:numPr>
        <w:spacing w:after="0" w:line="274" w:lineRule="auto"/>
        <w:jc w:val="both"/>
        <w:rPr>
          <w:rFonts w:cs="Arial"/>
          <w:lang w:val="en-AU"/>
        </w:rPr>
      </w:pPr>
      <w:r w:rsidRPr="00145463">
        <w:rPr>
          <w:rFonts w:cs="Arial"/>
          <w:lang w:val="en-AU"/>
        </w:rPr>
        <w:t>New</w:t>
      </w:r>
      <w:r w:rsidRPr="00EC494B">
        <w:rPr>
          <w:rFonts w:cs="Arial"/>
          <w:lang w:val="en-AU"/>
        </w:rPr>
        <w:t xml:space="preserve"> acquisition, colonisation or infection with an </w:t>
      </w:r>
      <w:r>
        <w:rPr>
          <w:rFonts w:cs="Arial"/>
          <w:lang w:val="en-AU"/>
        </w:rPr>
        <w:t>multi-resistant organism (</w:t>
      </w:r>
      <w:r w:rsidRPr="00EC494B">
        <w:rPr>
          <w:rFonts w:cs="Arial"/>
          <w:lang w:val="en-AU"/>
        </w:rPr>
        <w:t>MRO</w:t>
      </w:r>
      <w:r>
        <w:rPr>
          <w:rFonts w:cs="Arial"/>
          <w:lang w:val="en-AU"/>
        </w:rPr>
        <w:t xml:space="preserve">) </w:t>
      </w:r>
      <w:r w:rsidRPr="00EC494B">
        <w:rPr>
          <w:rFonts w:cs="Arial"/>
          <w:lang w:val="en-AU"/>
        </w:rPr>
        <w:t xml:space="preserve">or </w:t>
      </w:r>
      <w:r w:rsidRPr="00EC494B">
        <w:rPr>
          <w:rFonts w:cs="Arial"/>
          <w:i/>
          <w:lang w:val="en-AU"/>
        </w:rPr>
        <w:t>C</w:t>
      </w:r>
      <w:r>
        <w:rPr>
          <w:rFonts w:cs="Arial"/>
          <w:i/>
          <w:lang w:val="en-AU"/>
        </w:rPr>
        <w:t>lostridium</w:t>
      </w:r>
      <w:r w:rsidRPr="00EC494B">
        <w:rPr>
          <w:rFonts w:cs="Arial"/>
          <w:i/>
          <w:lang w:val="en-AU"/>
        </w:rPr>
        <w:t xml:space="preserve"> difficile</w:t>
      </w:r>
      <w:r w:rsidRPr="00EC494B">
        <w:rPr>
          <w:rFonts w:cs="Arial"/>
          <w:lang w:val="en-AU"/>
        </w:rPr>
        <w:t xml:space="preserve"> diarrhoea </w:t>
      </w:r>
      <w:r>
        <w:rPr>
          <w:rFonts w:cs="Arial"/>
          <w:lang w:val="en-AU"/>
        </w:rPr>
        <w:t xml:space="preserve">up to </w:t>
      </w:r>
      <w:r w:rsidRPr="00EC494B">
        <w:rPr>
          <w:rFonts w:cs="Arial"/>
          <w:lang w:val="en-AU"/>
        </w:rPr>
        <w:t>14 days post randomisation</w:t>
      </w:r>
    </w:p>
    <w:p w:rsidR="004E26D5" w:rsidRDefault="004E26D5" w:rsidP="004E26D5">
      <w:pPr>
        <w:numPr>
          <w:ilvl w:val="0"/>
          <w:numId w:val="5"/>
        </w:numPr>
        <w:spacing w:after="0" w:line="274" w:lineRule="auto"/>
        <w:jc w:val="both"/>
        <w:rPr>
          <w:rFonts w:cs="Arial"/>
          <w:lang w:val="en-AU"/>
        </w:rPr>
      </w:pPr>
      <w:r>
        <w:rPr>
          <w:rFonts w:cs="Arial"/>
          <w:lang w:val="en-AU"/>
        </w:rPr>
        <w:t>All-cause ICU mortality</w:t>
      </w:r>
    </w:p>
    <w:p w:rsidR="003C1D4D" w:rsidRDefault="004E26D5" w:rsidP="0082110F">
      <w:pPr>
        <w:numPr>
          <w:ilvl w:val="0"/>
          <w:numId w:val="5"/>
        </w:numPr>
        <w:spacing w:after="0" w:line="274" w:lineRule="auto"/>
        <w:jc w:val="both"/>
        <w:rPr>
          <w:rFonts w:cs="Arial"/>
          <w:lang w:val="en-AU"/>
        </w:rPr>
      </w:pPr>
      <w:r>
        <w:rPr>
          <w:rFonts w:cs="Arial"/>
          <w:lang w:val="en-AU"/>
        </w:rPr>
        <w:t>All-cause hospital mortality</w:t>
      </w:r>
      <w:bookmarkStart w:id="20" w:name="_Toc500414944"/>
    </w:p>
    <w:p w:rsidR="006C5B00" w:rsidRPr="006C5B00" w:rsidRDefault="006C5B00" w:rsidP="006C5B00">
      <w:pPr>
        <w:spacing w:after="0" w:line="274" w:lineRule="auto"/>
        <w:ind w:left="360"/>
        <w:jc w:val="both"/>
        <w:rPr>
          <w:rFonts w:cs="Arial"/>
          <w:lang w:val="en-AU"/>
        </w:rPr>
      </w:pPr>
    </w:p>
    <w:p w:rsidR="004E26D5" w:rsidRPr="0082110F" w:rsidRDefault="004E26D5" w:rsidP="0082110F">
      <w:pPr>
        <w:rPr>
          <w:b/>
          <w:lang w:val="en-AU"/>
        </w:rPr>
      </w:pPr>
      <w:r w:rsidRPr="0082110F">
        <w:rPr>
          <w:b/>
          <w:lang w:val="en-AU"/>
        </w:rPr>
        <w:t>Tertiary outcomes</w:t>
      </w:r>
      <w:bookmarkEnd w:id="20"/>
    </w:p>
    <w:p w:rsidR="004E26D5" w:rsidRPr="00F1165A" w:rsidRDefault="004E26D5" w:rsidP="004E26D5">
      <w:pPr>
        <w:numPr>
          <w:ilvl w:val="0"/>
          <w:numId w:val="6"/>
        </w:numPr>
        <w:spacing w:after="0" w:line="274" w:lineRule="auto"/>
        <w:jc w:val="both"/>
        <w:rPr>
          <w:lang w:val="en-AU"/>
        </w:rPr>
      </w:pPr>
      <w:r w:rsidRPr="00F1165A">
        <w:rPr>
          <w:rFonts w:cs="Arial"/>
          <w:lang w:val="en-AU"/>
        </w:rPr>
        <w:t>ICU length of stay</w:t>
      </w:r>
    </w:p>
    <w:p w:rsidR="004E26D5" w:rsidRPr="008306A8" w:rsidRDefault="004E26D5" w:rsidP="004E26D5">
      <w:pPr>
        <w:numPr>
          <w:ilvl w:val="0"/>
          <w:numId w:val="6"/>
        </w:numPr>
        <w:spacing w:after="0" w:line="274" w:lineRule="auto"/>
        <w:jc w:val="both"/>
        <w:rPr>
          <w:lang w:val="en-AU"/>
        </w:rPr>
      </w:pPr>
      <w:r w:rsidRPr="008306A8">
        <w:rPr>
          <w:rFonts w:cs="Arial"/>
          <w:lang w:val="en-AU"/>
        </w:rPr>
        <w:t>Hospital length of stay</w:t>
      </w:r>
    </w:p>
    <w:p w:rsidR="004E26D5" w:rsidRPr="001157F8" w:rsidRDefault="004E26D5" w:rsidP="004E26D5">
      <w:pPr>
        <w:numPr>
          <w:ilvl w:val="0"/>
          <w:numId w:val="6"/>
        </w:numPr>
        <w:spacing w:after="0" w:line="274" w:lineRule="auto"/>
        <w:jc w:val="both"/>
        <w:rPr>
          <w:lang w:val="en-AU"/>
        </w:rPr>
      </w:pPr>
      <w:r>
        <w:t>Duration of mechanical ventilation in ICU up to 90 days after randomisation</w:t>
      </w:r>
    </w:p>
    <w:p w:rsidR="004E26D5" w:rsidRPr="00E75EEE" w:rsidRDefault="004E26D5" w:rsidP="004E26D5">
      <w:pPr>
        <w:numPr>
          <w:ilvl w:val="0"/>
          <w:numId w:val="6"/>
        </w:numPr>
        <w:spacing w:after="0" w:line="274" w:lineRule="auto"/>
        <w:jc w:val="both"/>
      </w:pPr>
      <w:r w:rsidRPr="00330E8A">
        <w:rPr>
          <w:lang w:val="en-AU"/>
        </w:rPr>
        <w:t>Duration of renal replacement therapy up to 90 days after randomisation</w:t>
      </w:r>
    </w:p>
    <w:p w:rsidR="00403661" w:rsidRPr="0033724D" w:rsidRDefault="00403661" w:rsidP="0033724D">
      <w:pPr>
        <w:tabs>
          <w:tab w:val="left" w:pos="905"/>
        </w:tabs>
      </w:pPr>
    </w:p>
    <w:sectPr w:rsidR="00403661" w:rsidRPr="0033724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BAC" w:rsidRDefault="00657BAC" w:rsidP="00A05D4E">
      <w:pPr>
        <w:spacing w:after="0" w:line="240" w:lineRule="auto"/>
      </w:pPr>
      <w:r>
        <w:separator/>
      </w:r>
    </w:p>
  </w:endnote>
  <w:endnote w:type="continuationSeparator" w:id="0">
    <w:p w:rsidR="00657BAC" w:rsidRDefault="00657BAC" w:rsidP="00A0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noProof/>
        <w:lang w:val="en-GB"/>
      </w:rPr>
      <w:id w:val="984281097"/>
      <w:docPartObj>
        <w:docPartGallery w:val="Page Numbers (Bottom of Page)"/>
        <w:docPartUnique/>
      </w:docPartObj>
    </w:sdtPr>
    <w:sdtEndPr/>
    <w:sdtContent>
      <w:sdt>
        <w:sdtPr>
          <w:rPr>
            <w:rFonts w:ascii="Calibri" w:eastAsia="Calibri" w:hAnsi="Calibri" w:cs="Times New Roman"/>
            <w:noProof/>
            <w:lang w:val="en-GB"/>
          </w:rPr>
          <w:id w:val="-1769616900"/>
          <w:docPartObj>
            <w:docPartGallery w:val="Page Numbers (Top of Page)"/>
            <w:docPartUnique/>
          </w:docPartObj>
        </w:sdtPr>
        <w:sdtEndPr/>
        <w:sdtContent>
          <w:p w:rsidR="00A05D4E" w:rsidRPr="00A05D4E" w:rsidRDefault="00A05D4E" w:rsidP="00A05D4E">
            <w:pPr>
              <w:pStyle w:val="Footer"/>
              <w:jc w:val="right"/>
              <w:rPr>
                <w:rFonts w:ascii="Calibri" w:eastAsia="Calibri" w:hAnsi="Calibri" w:cs="Times New Roman"/>
                <w:noProof/>
                <w:lang w:val="en-GB"/>
              </w:rPr>
            </w:pPr>
            <w:r w:rsidRPr="00A05D4E">
              <w:rPr>
                <w:rFonts w:ascii="Calibri" w:eastAsia="Calibri" w:hAnsi="Calibri" w:cs="Times New Roman"/>
                <w:noProof/>
                <w:lang w:val="en-GB"/>
              </w:rPr>
              <w:t xml:space="preserve">Page </w:t>
            </w:r>
            <w:r w:rsidRPr="00A05D4E">
              <w:rPr>
                <w:rFonts w:ascii="Calibri" w:eastAsia="Calibri" w:hAnsi="Calibri" w:cs="Times New Roman"/>
                <w:b/>
                <w:bCs/>
                <w:noProof/>
                <w:sz w:val="24"/>
                <w:szCs w:val="24"/>
                <w:lang w:val="en-GB"/>
              </w:rPr>
              <w:fldChar w:fldCharType="begin"/>
            </w:r>
            <w:r w:rsidRPr="00A05D4E">
              <w:rPr>
                <w:rFonts w:ascii="Calibri" w:eastAsia="Calibri" w:hAnsi="Calibri" w:cs="Times New Roman"/>
                <w:b/>
                <w:bCs/>
                <w:noProof/>
                <w:lang w:val="en-GB"/>
              </w:rPr>
              <w:instrText xml:space="preserve"> PAGE </w:instrText>
            </w:r>
            <w:r w:rsidRPr="00A05D4E">
              <w:rPr>
                <w:rFonts w:ascii="Calibri" w:eastAsia="Calibri" w:hAnsi="Calibri" w:cs="Times New Roman"/>
                <w:b/>
                <w:bCs/>
                <w:noProof/>
                <w:sz w:val="24"/>
                <w:szCs w:val="24"/>
                <w:lang w:val="en-GB"/>
              </w:rPr>
              <w:fldChar w:fldCharType="separate"/>
            </w:r>
            <w:r w:rsidR="00C9206F">
              <w:rPr>
                <w:rFonts w:ascii="Calibri" w:eastAsia="Calibri" w:hAnsi="Calibri" w:cs="Times New Roman"/>
                <w:b/>
                <w:bCs/>
                <w:noProof/>
                <w:lang w:val="en-GB"/>
              </w:rPr>
              <w:t>1</w:t>
            </w:r>
            <w:r w:rsidRPr="00A05D4E">
              <w:rPr>
                <w:rFonts w:ascii="Calibri" w:eastAsia="Calibri" w:hAnsi="Calibri" w:cs="Times New Roman"/>
                <w:b/>
                <w:bCs/>
                <w:noProof/>
                <w:sz w:val="24"/>
                <w:szCs w:val="24"/>
                <w:lang w:val="en-GB"/>
              </w:rPr>
              <w:fldChar w:fldCharType="end"/>
            </w:r>
            <w:r w:rsidRPr="00A05D4E">
              <w:rPr>
                <w:rFonts w:ascii="Calibri" w:eastAsia="Calibri" w:hAnsi="Calibri" w:cs="Times New Roman"/>
                <w:noProof/>
                <w:lang w:val="en-GB"/>
              </w:rPr>
              <w:t xml:space="preserve"> of </w:t>
            </w:r>
            <w:r w:rsidRPr="00A05D4E">
              <w:rPr>
                <w:rFonts w:ascii="Calibri" w:eastAsia="Calibri" w:hAnsi="Calibri" w:cs="Times New Roman"/>
                <w:b/>
                <w:bCs/>
                <w:noProof/>
                <w:sz w:val="24"/>
                <w:szCs w:val="24"/>
                <w:lang w:val="en-GB"/>
              </w:rPr>
              <w:fldChar w:fldCharType="begin"/>
            </w:r>
            <w:r w:rsidRPr="00A05D4E">
              <w:rPr>
                <w:rFonts w:ascii="Calibri" w:eastAsia="Calibri" w:hAnsi="Calibri" w:cs="Times New Roman"/>
                <w:b/>
                <w:bCs/>
                <w:noProof/>
                <w:lang w:val="en-GB"/>
              </w:rPr>
              <w:instrText xml:space="preserve"> NUMPAGES  </w:instrText>
            </w:r>
            <w:r w:rsidRPr="00A05D4E">
              <w:rPr>
                <w:rFonts w:ascii="Calibri" w:eastAsia="Calibri" w:hAnsi="Calibri" w:cs="Times New Roman"/>
                <w:b/>
                <w:bCs/>
                <w:noProof/>
                <w:sz w:val="24"/>
                <w:szCs w:val="24"/>
                <w:lang w:val="en-GB"/>
              </w:rPr>
              <w:fldChar w:fldCharType="separate"/>
            </w:r>
            <w:r w:rsidR="00C9206F">
              <w:rPr>
                <w:rFonts w:ascii="Calibri" w:eastAsia="Calibri" w:hAnsi="Calibri" w:cs="Times New Roman"/>
                <w:b/>
                <w:bCs/>
                <w:noProof/>
                <w:lang w:val="en-GB"/>
              </w:rPr>
              <w:t>3</w:t>
            </w:r>
            <w:r w:rsidRPr="00A05D4E">
              <w:rPr>
                <w:rFonts w:ascii="Calibri" w:eastAsia="Calibri" w:hAnsi="Calibri" w:cs="Times New Roman"/>
                <w:b/>
                <w:bCs/>
                <w:noProof/>
                <w:sz w:val="24"/>
                <w:szCs w:val="24"/>
                <w:lang w:val="en-GB"/>
              </w:rPr>
              <w:fldChar w:fldCharType="end"/>
            </w:r>
          </w:p>
        </w:sdtContent>
      </w:sdt>
    </w:sdtContent>
  </w:sdt>
  <w:p w:rsidR="00A05D4E" w:rsidRDefault="00A05D4E">
    <w:pPr>
      <w:pStyle w:val="Footer"/>
    </w:pPr>
  </w:p>
  <w:p w:rsidR="0033724D" w:rsidRPr="00A05D4E" w:rsidRDefault="0082110F" w:rsidP="0033724D">
    <w:pPr>
      <w:pStyle w:val="Header"/>
      <w:rPr>
        <w:rFonts w:ascii="Calibri" w:eastAsia="Calibri" w:hAnsi="Calibri" w:cs="Times New Roman"/>
        <w:b/>
        <w:noProof/>
        <w:sz w:val="18"/>
        <w:szCs w:val="18"/>
        <w:lang w:val="en-GB"/>
      </w:rPr>
    </w:pPr>
    <w:r>
      <w:rPr>
        <w:rFonts w:ascii="Calibri" w:eastAsia="Calibri" w:hAnsi="Calibri" w:cs="Times New Roman"/>
        <w:b/>
        <w:noProof/>
        <w:sz w:val="18"/>
        <w:szCs w:val="18"/>
        <w:lang w:val="en-GB"/>
      </w:rPr>
      <w:t>BLING III</w:t>
    </w:r>
    <w:r w:rsidR="00455D82">
      <w:rPr>
        <w:rFonts w:ascii="Calibri" w:eastAsia="Calibri" w:hAnsi="Calibri" w:cs="Times New Roman"/>
        <w:b/>
        <w:noProof/>
        <w:sz w:val="18"/>
        <w:szCs w:val="18"/>
        <w:lang w:val="en-GB"/>
      </w:rPr>
      <w:t>- UK</w:t>
    </w:r>
    <w:r w:rsidR="0033724D" w:rsidRPr="00A05D4E">
      <w:rPr>
        <w:rFonts w:ascii="Calibri" w:eastAsia="Calibri" w:hAnsi="Calibri" w:cs="Times New Roman"/>
        <w:b/>
        <w:noProof/>
        <w:sz w:val="18"/>
        <w:szCs w:val="18"/>
        <w:lang w:val="en-GB"/>
      </w:rPr>
      <w:t xml:space="preserve"> Synopsis</w:t>
    </w:r>
  </w:p>
  <w:p w:rsidR="0033724D" w:rsidRPr="00A05D4E" w:rsidRDefault="0033724D" w:rsidP="0033724D">
    <w:pPr>
      <w:tabs>
        <w:tab w:val="left" w:pos="4011"/>
        <w:tab w:val="center" w:pos="4680"/>
        <w:tab w:val="right" w:pos="9360"/>
      </w:tabs>
      <w:spacing w:after="0" w:line="240" w:lineRule="auto"/>
      <w:jc w:val="both"/>
      <w:rPr>
        <w:rFonts w:ascii="Calibri" w:eastAsia="Calibri" w:hAnsi="Calibri" w:cs="Times New Roman"/>
        <w:b/>
        <w:noProof/>
        <w:sz w:val="18"/>
        <w:szCs w:val="18"/>
        <w:lang w:val="en-GB"/>
      </w:rPr>
    </w:pPr>
    <w:r w:rsidRPr="00A05D4E">
      <w:rPr>
        <w:rFonts w:ascii="Calibri" w:eastAsia="Calibri" w:hAnsi="Calibri" w:cs="Times New Roman"/>
        <w:b/>
        <w:noProof/>
        <w:sz w:val="18"/>
        <w:szCs w:val="18"/>
        <w:lang w:val="en-GB"/>
      </w:rPr>
      <w:t>Protocol Nu</w:t>
    </w:r>
    <w:r>
      <w:rPr>
        <w:rFonts w:ascii="Calibri" w:eastAsia="Calibri" w:hAnsi="Calibri" w:cs="Times New Roman"/>
        <w:b/>
        <w:noProof/>
        <w:sz w:val="18"/>
        <w:szCs w:val="18"/>
        <w:lang w:val="en-GB"/>
      </w:rPr>
      <w:t xml:space="preserve">mber: </w:t>
    </w:r>
    <w:r w:rsidR="0082110F">
      <w:rPr>
        <w:rFonts w:ascii="Calibri" w:eastAsia="Calibri" w:hAnsi="Calibri" w:cs="Times New Roman"/>
        <w:b/>
        <w:noProof/>
        <w:sz w:val="18"/>
        <w:szCs w:val="18"/>
        <w:lang w:val="en-GB"/>
      </w:rPr>
      <w:t>TGI-CCT254643</w:t>
    </w:r>
    <w:r>
      <w:rPr>
        <w:rFonts w:ascii="Calibri" w:eastAsia="Calibri" w:hAnsi="Calibri" w:cs="Times New Roman"/>
        <w:b/>
        <w:noProof/>
        <w:sz w:val="18"/>
        <w:szCs w:val="18"/>
        <w:lang w:val="en-GB"/>
      </w:rPr>
      <w:tab/>
    </w:r>
    <w:r>
      <w:rPr>
        <w:rFonts w:ascii="Calibri" w:eastAsia="Calibri" w:hAnsi="Calibri" w:cs="Times New Roman"/>
        <w:b/>
        <w:noProof/>
        <w:sz w:val="18"/>
        <w:szCs w:val="18"/>
        <w:lang w:val="en-GB"/>
      </w:rPr>
      <w:tab/>
    </w:r>
    <w:r>
      <w:rPr>
        <w:rFonts w:ascii="Calibri" w:eastAsia="Calibri" w:hAnsi="Calibri" w:cs="Times New Roman"/>
        <w:b/>
        <w:noProof/>
        <w:sz w:val="18"/>
        <w:szCs w:val="18"/>
        <w:lang w:val="en-GB"/>
      </w:rPr>
      <w:tab/>
      <w:t xml:space="preserve">Version </w:t>
    </w:r>
    <w:r w:rsidR="0082110F">
      <w:rPr>
        <w:rFonts w:ascii="Calibri" w:eastAsia="Calibri" w:hAnsi="Calibri" w:cs="Times New Roman"/>
        <w:b/>
        <w:noProof/>
        <w:sz w:val="18"/>
        <w:szCs w:val="18"/>
        <w:lang w:val="en-GB"/>
      </w:rPr>
      <w:t>1</w:t>
    </w:r>
    <w:r>
      <w:rPr>
        <w:rFonts w:ascii="Calibri" w:eastAsia="Calibri" w:hAnsi="Calibri" w:cs="Times New Roman"/>
        <w:b/>
        <w:noProof/>
        <w:sz w:val="18"/>
        <w:szCs w:val="18"/>
        <w:lang w:val="en-GB"/>
      </w:rPr>
      <w:t xml:space="preserve"> dated </w:t>
    </w:r>
    <w:r w:rsidR="00431280">
      <w:rPr>
        <w:rFonts w:ascii="Calibri" w:eastAsia="Calibri" w:hAnsi="Calibri" w:cs="Times New Roman"/>
        <w:b/>
        <w:noProof/>
        <w:sz w:val="18"/>
        <w:szCs w:val="18"/>
        <w:lang w:val="en-GB"/>
      </w:rPr>
      <w:t>11</w:t>
    </w:r>
    <w:r w:rsidR="0082110F" w:rsidRPr="0082110F">
      <w:rPr>
        <w:rFonts w:ascii="Calibri" w:eastAsia="Calibri" w:hAnsi="Calibri" w:cs="Times New Roman"/>
        <w:b/>
        <w:noProof/>
        <w:sz w:val="18"/>
        <w:szCs w:val="18"/>
        <w:vertAlign w:val="superscript"/>
        <w:lang w:val="en-GB"/>
      </w:rPr>
      <w:t>th</w:t>
    </w:r>
    <w:r w:rsidR="0082110F">
      <w:rPr>
        <w:rFonts w:ascii="Calibri" w:eastAsia="Calibri" w:hAnsi="Calibri" w:cs="Times New Roman"/>
        <w:b/>
        <w:noProof/>
        <w:sz w:val="18"/>
        <w:szCs w:val="18"/>
        <w:lang w:val="en-GB"/>
      </w:rPr>
      <w:t xml:space="preserve"> January 2018</w:t>
    </w:r>
    <w:r w:rsidRPr="00A05D4E">
      <w:rPr>
        <w:rFonts w:ascii="Calibri" w:eastAsia="Calibri" w:hAnsi="Calibri" w:cs="Times New Roman"/>
        <w:b/>
        <w:noProof/>
        <w:sz w:val="18"/>
        <w:szCs w:val="18"/>
        <w:lang w:val="en-GB"/>
      </w:rPr>
      <w:t xml:space="preserve"> </w:t>
    </w:r>
  </w:p>
  <w:p w:rsidR="00A05D4E" w:rsidRDefault="00A05D4E" w:rsidP="0033724D">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BAC" w:rsidRDefault="00657BAC" w:rsidP="00A05D4E">
      <w:pPr>
        <w:spacing w:after="0" w:line="240" w:lineRule="auto"/>
      </w:pPr>
      <w:r>
        <w:separator/>
      </w:r>
    </w:p>
  </w:footnote>
  <w:footnote w:type="continuationSeparator" w:id="0">
    <w:p w:rsidR="00657BAC" w:rsidRDefault="00657BAC" w:rsidP="00A05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4D" w:rsidRDefault="00A73CF6" w:rsidP="0033724D">
    <w:pPr>
      <w:pStyle w:val="Header"/>
    </w:pPr>
    <w:r w:rsidRPr="0070283A">
      <w:rPr>
        <w:noProof/>
        <w:lang w:val="en-GB" w:eastAsia="en-GB"/>
      </w:rPr>
      <w:drawing>
        <wp:anchor distT="0" distB="0" distL="114300" distR="114300" simplePos="0" relativeHeight="251665408" behindDoc="1" locked="0" layoutInCell="1" allowOverlap="1" wp14:anchorId="539CC40D" wp14:editId="401A04C2">
          <wp:simplePos x="0" y="0"/>
          <wp:positionH relativeFrom="column">
            <wp:posOffset>4448517</wp:posOffset>
          </wp:positionH>
          <wp:positionV relativeFrom="paragraph">
            <wp:posOffset>-287215</wp:posOffset>
          </wp:positionV>
          <wp:extent cx="2110154" cy="36411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154" cy="3641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24D">
      <w:rPr>
        <w:noProof/>
        <w:lang w:val="en-GB" w:eastAsia="en-GB"/>
      </w:rPr>
      <w:drawing>
        <wp:anchor distT="0" distB="0" distL="114300" distR="114300" simplePos="0" relativeHeight="251663360" behindDoc="0" locked="0" layoutInCell="1" allowOverlap="1" wp14:anchorId="651EDA91" wp14:editId="6BB3CEE8">
          <wp:simplePos x="0" y="0"/>
          <wp:positionH relativeFrom="margin">
            <wp:posOffset>-685050</wp:posOffset>
          </wp:positionH>
          <wp:positionV relativeFrom="margin">
            <wp:posOffset>-696422</wp:posOffset>
          </wp:positionV>
          <wp:extent cx="1295400" cy="336550"/>
          <wp:effectExtent l="0" t="0" r="0" b="6350"/>
          <wp:wrapSquare wrapText="bothSides"/>
          <wp:docPr id="2" name="Picture 2" descr="Description: Description: Imperial College Londo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Imperial College Londo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336550"/>
                  </a:xfrm>
                  <a:prstGeom prst="rect">
                    <a:avLst/>
                  </a:prstGeom>
                  <a:noFill/>
                </pic:spPr>
              </pic:pic>
            </a:graphicData>
          </a:graphic>
          <wp14:sizeRelH relativeFrom="page">
            <wp14:pctWidth>0</wp14:pctWidth>
          </wp14:sizeRelH>
          <wp14:sizeRelV relativeFrom="page">
            <wp14:pctHeight>0</wp14:pctHeight>
          </wp14:sizeRelV>
        </wp:anchor>
      </w:drawing>
    </w:r>
    <w:r w:rsidR="0033724D">
      <w:rPr>
        <w:noProof/>
        <w:lang w:val="en-GB" w:eastAsia="en-GB"/>
      </w:rPr>
      <w:drawing>
        <wp:anchor distT="0" distB="0" distL="114300" distR="114300" simplePos="0" relativeHeight="251661312" behindDoc="0" locked="0" layoutInCell="1" allowOverlap="1" wp14:anchorId="2C347568" wp14:editId="7388E7A0">
          <wp:simplePos x="0" y="0"/>
          <wp:positionH relativeFrom="margin">
            <wp:posOffset>-699654</wp:posOffset>
          </wp:positionH>
          <wp:positionV relativeFrom="margin">
            <wp:posOffset>-2066810</wp:posOffset>
          </wp:positionV>
          <wp:extent cx="1295400" cy="336550"/>
          <wp:effectExtent l="0" t="0" r="0" b="6350"/>
          <wp:wrapSquare wrapText="bothSides"/>
          <wp:docPr id="105" name="Picture 105" descr="Description: Description: Imperial College Londo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Imperial College Londo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336550"/>
                  </a:xfrm>
                  <a:prstGeom prst="rect">
                    <a:avLst/>
                  </a:prstGeom>
                  <a:noFill/>
                </pic:spPr>
              </pic:pic>
            </a:graphicData>
          </a:graphic>
          <wp14:sizeRelH relativeFrom="page">
            <wp14:pctWidth>0</wp14:pctWidth>
          </wp14:sizeRelH>
          <wp14:sizeRelV relativeFrom="page">
            <wp14:pctHeight>0</wp14:pctHeight>
          </wp14:sizeRelV>
        </wp:anchor>
      </w:drawing>
    </w:r>
  </w:p>
  <w:p w:rsidR="00A05D4E" w:rsidRPr="0033724D" w:rsidRDefault="00A05D4E" w:rsidP="0033724D">
    <w:pPr>
      <w:pStyle w:val="Header"/>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557"/>
    <w:multiLevelType w:val="multilevel"/>
    <w:tmpl w:val="40845AA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5D02B24"/>
    <w:multiLevelType w:val="hybridMultilevel"/>
    <w:tmpl w:val="0234DD68"/>
    <w:lvl w:ilvl="0" w:tplc="E5AECC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04B1C46"/>
    <w:multiLevelType w:val="multilevel"/>
    <w:tmpl w:val="B922D8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9AA1E77"/>
    <w:multiLevelType w:val="multilevel"/>
    <w:tmpl w:val="085880A6"/>
    <w:lvl w:ilvl="0">
      <w:start w:val="1"/>
      <w:numFmt w:val="decimal"/>
      <w:lvlText w:val="%1."/>
      <w:lvlJc w:val="left"/>
      <w:pPr>
        <w:ind w:left="360" w:hanging="360"/>
      </w:pPr>
      <w:rPr>
        <w:rFonts w:ascii="Calibri" w:eastAsia="Calibri" w:hAnsi="Calibri" w:cs="Arial"/>
      </w:rPr>
    </w:lvl>
    <w:lvl w:ilvl="1">
      <w:start w:val="1"/>
      <w:numFmt w:val="decimal"/>
      <w:isLgl/>
      <w:lvlText w:val="5%1.%2"/>
      <w:lvlJc w:val="left"/>
      <w:pPr>
        <w:ind w:left="710" w:hanging="360"/>
      </w:pPr>
      <w:rPr>
        <w:rFonts w:ascii="Calibri" w:hAnsi="Calibri" w:hint="default"/>
        <w:b/>
        <w:i w:val="0"/>
        <w:sz w:val="22"/>
      </w:rPr>
    </w:lvl>
    <w:lvl w:ilvl="2">
      <w:start w:val="1"/>
      <w:numFmt w:val="decimal"/>
      <w:isLgl/>
      <w:lvlText w:val="5.%2.%3"/>
      <w:lvlJc w:val="left"/>
      <w:pPr>
        <w:ind w:left="900" w:hanging="720"/>
      </w:pPr>
      <w:rPr>
        <w:rFonts w:ascii="Calibri" w:hAnsi="Calibri" w:hint="default"/>
        <w:b w:val="0"/>
        <w:i/>
      </w:rPr>
    </w:lvl>
    <w:lvl w:ilvl="3">
      <w:start w:val="1"/>
      <w:numFmt w:val="decimal"/>
      <w:isLgl/>
      <w:lvlText w:val="5%1.%2.%3.%4"/>
      <w:lvlJc w:val="left"/>
      <w:pPr>
        <w:ind w:left="1800" w:hanging="720"/>
      </w:pPr>
      <w:rPr>
        <w:rFonts w:hint="default"/>
      </w:rPr>
    </w:lvl>
    <w:lvl w:ilvl="4">
      <w:start w:val="1"/>
      <w:numFmt w:val="decimal"/>
      <w:isLgl/>
      <w:lvlText w:val="5%1.%2.%3.%4.%5"/>
      <w:lvlJc w:val="left"/>
      <w:pPr>
        <w:ind w:left="2520" w:hanging="1080"/>
      </w:pPr>
      <w:rPr>
        <w:rFonts w:hint="default"/>
      </w:rPr>
    </w:lvl>
    <w:lvl w:ilvl="5">
      <w:start w:val="1"/>
      <w:numFmt w:val="decimal"/>
      <w:isLgl/>
      <w:lvlText w:val="5%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30ED20DB"/>
    <w:multiLevelType w:val="multilevel"/>
    <w:tmpl w:val="40845AAC"/>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37515385"/>
    <w:multiLevelType w:val="multilevel"/>
    <w:tmpl w:val="6B587032"/>
    <w:lvl w:ilvl="0">
      <w:start w:val="1"/>
      <w:numFmt w:val="decimal"/>
      <w:lvlText w:val="%1."/>
      <w:lvlJc w:val="left"/>
      <w:pPr>
        <w:ind w:left="360" w:hanging="360"/>
      </w:pPr>
      <w:rPr>
        <w:rFonts w:ascii="Calibri" w:eastAsia="Calibri" w:hAnsi="Calibri" w:cs="Arial"/>
        <w:color w:val="auto"/>
        <w:sz w:val="20"/>
        <w:szCs w:val="20"/>
      </w:rPr>
    </w:lvl>
    <w:lvl w:ilvl="1">
      <w:start w:val="1"/>
      <w:numFmt w:val="decimal"/>
      <w:isLgl/>
      <w:lvlText w:val="%1.%2"/>
      <w:lvlJc w:val="left"/>
      <w:pPr>
        <w:ind w:left="1153" w:hanging="360"/>
      </w:pPr>
      <w:rPr>
        <w:rFonts w:hint="default"/>
        <w:sz w:val="20"/>
        <w:szCs w:val="20"/>
      </w:rPr>
    </w:lvl>
    <w:lvl w:ilvl="2">
      <w:start w:val="1"/>
      <w:numFmt w:val="decimal"/>
      <w:isLgl/>
      <w:lvlText w:val="%1.%2.%3"/>
      <w:lvlJc w:val="left"/>
      <w:pPr>
        <w:ind w:left="2230" w:hanging="720"/>
      </w:pPr>
      <w:rPr>
        <w:rFonts w:hint="default"/>
      </w:rPr>
    </w:lvl>
    <w:lvl w:ilvl="3">
      <w:start w:val="1"/>
      <w:numFmt w:val="decimal"/>
      <w:isLgl/>
      <w:lvlText w:val="%1.%2.%3.%4"/>
      <w:lvlJc w:val="left"/>
      <w:pPr>
        <w:ind w:left="2947" w:hanging="720"/>
      </w:pPr>
      <w:rPr>
        <w:rFonts w:hint="default"/>
      </w:rPr>
    </w:lvl>
    <w:lvl w:ilvl="4">
      <w:start w:val="1"/>
      <w:numFmt w:val="decimal"/>
      <w:isLgl/>
      <w:lvlText w:val="%1.%2.%3.%4.%5"/>
      <w:lvlJc w:val="left"/>
      <w:pPr>
        <w:ind w:left="4024" w:hanging="1080"/>
      </w:pPr>
      <w:rPr>
        <w:rFonts w:hint="default"/>
      </w:rPr>
    </w:lvl>
    <w:lvl w:ilvl="5">
      <w:start w:val="1"/>
      <w:numFmt w:val="decimal"/>
      <w:isLgl/>
      <w:lvlText w:val="%1.%2.%3.%4.%5.%6"/>
      <w:lvlJc w:val="left"/>
      <w:pPr>
        <w:ind w:left="4741" w:hanging="1080"/>
      </w:pPr>
      <w:rPr>
        <w:rFonts w:hint="default"/>
      </w:rPr>
    </w:lvl>
    <w:lvl w:ilvl="6">
      <w:start w:val="1"/>
      <w:numFmt w:val="decimal"/>
      <w:isLgl/>
      <w:lvlText w:val="%1.%2.%3.%4.%5.%6.%7"/>
      <w:lvlJc w:val="left"/>
      <w:pPr>
        <w:ind w:left="5818" w:hanging="1440"/>
      </w:pPr>
      <w:rPr>
        <w:rFonts w:hint="default"/>
      </w:rPr>
    </w:lvl>
    <w:lvl w:ilvl="7">
      <w:start w:val="1"/>
      <w:numFmt w:val="decimal"/>
      <w:isLgl/>
      <w:lvlText w:val="%1.%2.%3.%4.%5.%6.%7.%8"/>
      <w:lvlJc w:val="left"/>
      <w:pPr>
        <w:ind w:left="6535" w:hanging="1440"/>
      </w:pPr>
      <w:rPr>
        <w:rFonts w:hint="default"/>
      </w:rPr>
    </w:lvl>
    <w:lvl w:ilvl="8">
      <w:start w:val="1"/>
      <w:numFmt w:val="decimal"/>
      <w:isLgl/>
      <w:lvlText w:val="%1.%2.%3.%4.%5.%6.%7.%8.%9"/>
      <w:lvlJc w:val="left"/>
      <w:pPr>
        <w:ind w:left="7612" w:hanging="1800"/>
      </w:pPr>
      <w:rPr>
        <w:rFonts w:hint="default"/>
      </w:rPr>
    </w:lvl>
  </w:abstractNum>
  <w:abstractNum w:abstractNumId="6">
    <w:nsid w:val="4A141629"/>
    <w:multiLevelType w:val="multilevel"/>
    <w:tmpl w:val="40845AA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4A4636C0"/>
    <w:multiLevelType w:val="multilevel"/>
    <w:tmpl w:val="40845AAC"/>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5C9B66FA"/>
    <w:multiLevelType w:val="multilevel"/>
    <w:tmpl w:val="38A6991E"/>
    <w:lvl w:ilvl="0">
      <w:start w:val="1"/>
      <w:numFmt w:val="decimal"/>
      <w:lvlText w:val="%1."/>
      <w:lvlJc w:val="left"/>
      <w:pPr>
        <w:ind w:left="1249" w:hanging="360"/>
      </w:pPr>
      <w:rPr>
        <w:rFonts w:cs="Times New Roman" w:hint="default"/>
      </w:rPr>
    </w:lvl>
    <w:lvl w:ilvl="1">
      <w:start w:val="4"/>
      <w:numFmt w:val="decimal"/>
      <w:isLgl/>
      <w:lvlText w:val="%1.%2"/>
      <w:lvlJc w:val="left"/>
      <w:pPr>
        <w:ind w:left="1479" w:hanging="495"/>
      </w:pPr>
      <w:rPr>
        <w:rFonts w:hint="default"/>
      </w:rPr>
    </w:lvl>
    <w:lvl w:ilvl="2">
      <w:start w:val="1"/>
      <w:numFmt w:val="decimal"/>
      <w:isLgl/>
      <w:lvlText w:val="%1.%2.%3"/>
      <w:lvlJc w:val="left"/>
      <w:pPr>
        <w:ind w:left="1799" w:hanging="720"/>
      </w:pPr>
      <w:rPr>
        <w:rFonts w:hint="default"/>
      </w:rPr>
    </w:lvl>
    <w:lvl w:ilvl="3">
      <w:start w:val="1"/>
      <w:numFmt w:val="decimal"/>
      <w:isLgl/>
      <w:lvlText w:val="%1.%2.%3.%4"/>
      <w:lvlJc w:val="left"/>
      <w:pPr>
        <w:ind w:left="1894" w:hanging="72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899"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089" w:hanging="1440"/>
      </w:pPr>
      <w:rPr>
        <w:rFonts w:hint="default"/>
      </w:rPr>
    </w:lvl>
  </w:abstractNum>
  <w:abstractNum w:abstractNumId="9">
    <w:nsid w:val="71CB52BB"/>
    <w:multiLevelType w:val="hybridMultilevel"/>
    <w:tmpl w:val="3B64CD3C"/>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4"/>
  </w:num>
  <w:num w:numId="6">
    <w:abstractNumId w:val="7"/>
  </w:num>
  <w:num w:numId="7">
    <w:abstractNumId w:val="6"/>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4E"/>
    <w:rsid w:val="00022DB7"/>
    <w:rsid w:val="00183E83"/>
    <w:rsid w:val="001C0DF5"/>
    <w:rsid w:val="0033724D"/>
    <w:rsid w:val="00337274"/>
    <w:rsid w:val="003A70D3"/>
    <w:rsid w:val="003C1D4D"/>
    <w:rsid w:val="00403661"/>
    <w:rsid w:val="00431280"/>
    <w:rsid w:val="004467B7"/>
    <w:rsid w:val="00455D82"/>
    <w:rsid w:val="004E26D5"/>
    <w:rsid w:val="005B2375"/>
    <w:rsid w:val="00657BAC"/>
    <w:rsid w:val="006C5B00"/>
    <w:rsid w:val="006D3F07"/>
    <w:rsid w:val="00754DEE"/>
    <w:rsid w:val="0082110F"/>
    <w:rsid w:val="008D263D"/>
    <w:rsid w:val="009D0B47"/>
    <w:rsid w:val="009D75C0"/>
    <w:rsid w:val="00A05B4E"/>
    <w:rsid w:val="00A05D4E"/>
    <w:rsid w:val="00A73CF6"/>
    <w:rsid w:val="00AB2540"/>
    <w:rsid w:val="00AF148E"/>
    <w:rsid w:val="00C9206F"/>
    <w:rsid w:val="00CD3876"/>
    <w:rsid w:val="00E72321"/>
    <w:rsid w:val="00F255A2"/>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E26D5"/>
    <w:pPr>
      <w:keepNext/>
      <w:keepLines/>
      <w:spacing w:before="180" w:after="180" w:line="240" w:lineRule="auto"/>
      <w:jc w:val="both"/>
      <w:outlineLvl w:val="1"/>
    </w:pPr>
    <w:rPr>
      <w:rFonts w:ascii="Calibri" w:eastAsiaTheme="majorEastAsia" w:hAnsi="Calibri" w:cstheme="majorBidi"/>
      <w:bCs/>
      <w:color w:val="5B9BD5"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D4E"/>
  </w:style>
  <w:style w:type="paragraph" w:styleId="Footer">
    <w:name w:val="footer"/>
    <w:basedOn w:val="Normal"/>
    <w:link w:val="FooterChar"/>
    <w:uiPriority w:val="99"/>
    <w:unhideWhenUsed/>
    <w:rsid w:val="00A05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D4E"/>
  </w:style>
  <w:style w:type="character" w:styleId="CommentReference">
    <w:name w:val="annotation reference"/>
    <w:rsid w:val="00AF148E"/>
    <w:rPr>
      <w:sz w:val="18"/>
    </w:rPr>
  </w:style>
  <w:style w:type="paragraph" w:styleId="CommentText">
    <w:name w:val="annotation text"/>
    <w:basedOn w:val="Normal"/>
    <w:link w:val="CommentTextChar"/>
    <w:rsid w:val="00AF148E"/>
    <w:pPr>
      <w:spacing w:after="0" w:line="240" w:lineRule="auto"/>
      <w:contextualSpacing/>
      <w:jc w:val="both"/>
    </w:pPr>
    <w:rPr>
      <w:rFonts w:ascii="Times New Roman" w:eastAsia="Times New Roman" w:hAnsi="Times New Roman" w:cs="Times New Roman"/>
      <w:noProof/>
      <w:sz w:val="20"/>
      <w:szCs w:val="20"/>
      <w:lang w:val="en-GB"/>
    </w:rPr>
  </w:style>
  <w:style w:type="character" w:customStyle="1" w:styleId="CommentTextChar">
    <w:name w:val="Comment Text Char"/>
    <w:basedOn w:val="DefaultParagraphFont"/>
    <w:link w:val="CommentText"/>
    <w:rsid w:val="00AF148E"/>
    <w:rPr>
      <w:rFonts w:ascii="Times New Roman" w:eastAsia="Times New Roman" w:hAnsi="Times New Roman" w:cs="Times New Roman"/>
      <w:noProof/>
      <w:sz w:val="20"/>
      <w:szCs w:val="20"/>
      <w:lang w:val="en-GB"/>
    </w:rPr>
  </w:style>
  <w:style w:type="paragraph" w:styleId="BalloonText">
    <w:name w:val="Balloon Text"/>
    <w:basedOn w:val="Normal"/>
    <w:link w:val="BalloonTextChar"/>
    <w:uiPriority w:val="99"/>
    <w:semiHidden/>
    <w:unhideWhenUsed/>
    <w:rsid w:val="00AF1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48E"/>
    <w:rPr>
      <w:rFonts w:ascii="Segoe UI" w:hAnsi="Segoe UI" w:cs="Segoe UI"/>
      <w:sz w:val="18"/>
      <w:szCs w:val="18"/>
    </w:rPr>
  </w:style>
  <w:style w:type="character" w:customStyle="1" w:styleId="ColorfulList-Accent1Char1">
    <w:name w:val="Colorful List - Accent 1 Char1"/>
    <w:link w:val="ColorfulList-Accent1"/>
    <w:rsid w:val="00AF148E"/>
  </w:style>
  <w:style w:type="table" w:styleId="ColorfulList-Accent1">
    <w:name w:val="Colorful List Accent 1"/>
    <w:basedOn w:val="TableNormal"/>
    <w:link w:val="ColorfulList-Accent1Char1"/>
    <w:semiHidden/>
    <w:unhideWhenUsed/>
    <w:rsid w:val="00AF148E"/>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4E26D5"/>
    <w:rPr>
      <w:rFonts w:ascii="Calibri" w:eastAsiaTheme="majorEastAsia" w:hAnsi="Calibri" w:cstheme="majorBidi"/>
      <w:bCs/>
      <w:color w:val="5B9BD5" w:themeColor="accent1"/>
      <w:sz w:val="28"/>
      <w:szCs w:val="26"/>
    </w:rPr>
  </w:style>
  <w:style w:type="paragraph" w:styleId="ListParagraph">
    <w:name w:val="List Paragraph"/>
    <w:basedOn w:val="Normal"/>
    <w:link w:val="ListParagraphChar"/>
    <w:qFormat/>
    <w:rsid w:val="0082110F"/>
    <w:pPr>
      <w:spacing w:after="180" w:line="274" w:lineRule="auto"/>
      <w:ind w:left="720" w:hanging="289"/>
      <w:contextualSpacing/>
      <w:jc w:val="both"/>
    </w:pPr>
    <w:rPr>
      <w:rFonts w:ascii="Calibri" w:hAnsi="Calibri" w:cs="Times New Roman"/>
      <w:szCs w:val="21"/>
    </w:rPr>
  </w:style>
  <w:style w:type="character" w:customStyle="1" w:styleId="ListParagraphChar">
    <w:name w:val="List Paragraph Char"/>
    <w:link w:val="ListParagraph"/>
    <w:locked/>
    <w:rsid w:val="0082110F"/>
    <w:rPr>
      <w:rFonts w:ascii="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E26D5"/>
    <w:pPr>
      <w:keepNext/>
      <w:keepLines/>
      <w:spacing w:before="180" w:after="180" w:line="240" w:lineRule="auto"/>
      <w:jc w:val="both"/>
      <w:outlineLvl w:val="1"/>
    </w:pPr>
    <w:rPr>
      <w:rFonts w:ascii="Calibri" w:eastAsiaTheme="majorEastAsia" w:hAnsi="Calibri" w:cstheme="majorBidi"/>
      <w:bCs/>
      <w:color w:val="5B9BD5"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D4E"/>
  </w:style>
  <w:style w:type="paragraph" w:styleId="Footer">
    <w:name w:val="footer"/>
    <w:basedOn w:val="Normal"/>
    <w:link w:val="FooterChar"/>
    <w:uiPriority w:val="99"/>
    <w:unhideWhenUsed/>
    <w:rsid w:val="00A05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D4E"/>
  </w:style>
  <w:style w:type="character" w:styleId="CommentReference">
    <w:name w:val="annotation reference"/>
    <w:rsid w:val="00AF148E"/>
    <w:rPr>
      <w:sz w:val="18"/>
    </w:rPr>
  </w:style>
  <w:style w:type="paragraph" w:styleId="CommentText">
    <w:name w:val="annotation text"/>
    <w:basedOn w:val="Normal"/>
    <w:link w:val="CommentTextChar"/>
    <w:rsid w:val="00AF148E"/>
    <w:pPr>
      <w:spacing w:after="0" w:line="240" w:lineRule="auto"/>
      <w:contextualSpacing/>
      <w:jc w:val="both"/>
    </w:pPr>
    <w:rPr>
      <w:rFonts w:ascii="Times New Roman" w:eastAsia="Times New Roman" w:hAnsi="Times New Roman" w:cs="Times New Roman"/>
      <w:noProof/>
      <w:sz w:val="20"/>
      <w:szCs w:val="20"/>
      <w:lang w:val="en-GB"/>
    </w:rPr>
  </w:style>
  <w:style w:type="character" w:customStyle="1" w:styleId="CommentTextChar">
    <w:name w:val="Comment Text Char"/>
    <w:basedOn w:val="DefaultParagraphFont"/>
    <w:link w:val="CommentText"/>
    <w:rsid w:val="00AF148E"/>
    <w:rPr>
      <w:rFonts w:ascii="Times New Roman" w:eastAsia="Times New Roman" w:hAnsi="Times New Roman" w:cs="Times New Roman"/>
      <w:noProof/>
      <w:sz w:val="20"/>
      <w:szCs w:val="20"/>
      <w:lang w:val="en-GB"/>
    </w:rPr>
  </w:style>
  <w:style w:type="paragraph" w:styleId="BalloonText">
    <w:name w:val="Balloon Text"/>
    <w:basedOn w:val="Normal"/>
    <w:link w:val="BalloonTextChar"/>
    <w:uiPriority w:val="99"/>
    <w:semiHidden/>
    <w:unhideWhenUsed/>
    <w:rsid w:val="00AF1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48E"/>
    <w:rPr>
      <w:rFonts w:ascii="Segoe UI" w:hAnsi="Segoe UI" w:cs="Segoe UI"/>
      <w:sz w:val="18"/>
      <w:szCs w:val="18"/>
    </w:rPr>
  </w:style>
  <w:style w:type="character" w:customStyle="1" w:styleId="ColorfulList-Accent1Char1">
    <w:name w:val="Colorful List - Accent 1 Char1"/>
    <w:link w:val="ColorfulList-Accent1"/>
    <w:rsid w:val="00AF148E"/>
  </w:style>
  <w:style w:type="table" w:styleId="ColorfulList-Accent1">
    <w:name w:val="Colorful List Accent 1"/>
    <w:basedOn w:val="TableNormal"/>
    <w:link w:val="ColorfulList-Accent1Char1"/>
    <w:semiHidden/>
    <w:unhideWhenUsed/>
    <w:rsid w:val="00AF148E"/>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4E26D5"/>
    <w:rPr>
      <w:rFonts w:ascii="Calibri" w:eastAsiaTheme="majorEastAsia" w:hAnsi="Calibri" w:cstheme="majorBidi"/>
      <w:bCs/>
      <w:color w:val="5B9BD5" w:themeColor="accent1"/>
      <w:sz w:val="28"/>
      <w:szCs w:val="26"/>
    </w:rPr>
  </w:style>
  <w:style w:type="paragraph" w:styleId="ListParagraph">
    <w:name w:val="List Paragraph"/>
    <w:basedOn w:val="Normal"/>
    <w:link w:val="ListParagraphChar"/>
    <w:qFormat/>
    <w:rsid w:val="0082110F"/>
    <w:pPr>
      <w:spacing w:after="180" w:line="274" w:lineRule="auto"/>
      <w:ind w:left="720" w:hanging="289"/>
      <w:contextualSpacing/>
      <w:jc w:val="both"/>
    </w:pPr>
    <w:rPr>
      <w:rFonts w:ascii="Calibri" w:hAnsi="Calibri" w:cs="Times New Roman"/>
      <w:szCs w:val="21"/>
    </w:rPr>
  </w:style>
  <w:style w:type="character" w:customStyle="1" w:styleId="ListParagraphChar">
    <w:name w:val="List Paragraph Char"/>
    <w:link w:val="ListParagraph"/>
    <w:locked/>
    <w:rsid w:val="0082110F"/>
    <w:rPr>
      <w:rFonts w:ascii="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3.imperial.ac.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Correa</dc:creator>
  <cp:keywords/>
  <dc:description/>
  <cp:lastModifiedBy>Al-Beidh, Farah</cp:lastModifiedBy>
  <cp:revision>5</cp:revision>
  <cp:lastPrinted>2017-11-29T12:30:00Z</cp:lastPrinted>
  <dcterms:created xsi:type="dcterms:W3CDTF">2018-01-11T13:06:00Z</dcterms:created>
  <dcterms:modified xsi:type="dcterms:W3CDTF">2018-01-12T08:42:00Z</dcterms:modified>
</cp:coreProperties>
</file>